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385" w:rsidRPr="00A95385" w:rsidRDefault="00A95385" w:rsidP="009F1D38">
      <w:pPr>
        <w:pStyle w:val="Cabealho"/>
        <w:tabs>
          <w:tab w:val="left" w:pos="2535"/>
        </w:tabs>
        <w:contextualSpacing/>
        <w:rPr>
          <w:rFonts w:ascii="Times New Roman" w:hAnsi="Times New Roman" w:cs="Times New Roman"/>
          <w:b/>
          <w:sz w:val="48"/>
          <w:szCs w:val="48"/>
        </w:rPr>
      </w:pPr>
    </w:p>
    <w:p w:rsidR="00A95385" w:rsidRDefault="00061CEA" w:rsidP="00A95385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48"/>
          <w:szCs w:val="48"/>
          <w:vertAlign w:val="subscript"/>
        </w:rPr>
      </w:pPr>
      <w:r w:rsidRPr="00A95385">
        <w:rPr>
          <w:rFonts w:ascii="Times New Roman" w:hAnsi="Times New Roman" w:cs="Times New Roman"/>
          <w:b/>
          <w:sz w:val="48"/>
          <w:szCs w:val="48"/>
          <w:vertAlign w:val="subscript"/>
        </w:rPr>
        <w:t xml:space="preserve">REUNIÃO DAS COMISSÕES PERMANENTES </w:t>
      </w:r>
    </w:p>
    <w:p w:rsidR="00E44FD6" w:rsidRPr="00A95385" w:rsidRDefault="00061CEA" w:rsidP="00A95385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  <w:vertAlign w:val="subscript"/>
        </w:rPr>
      </w:pPr>
      <w:r w:rsidRPr="00A95385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Pauta nº</w:t>
      </w:r>
      <w:r w:rsidR="00A73601" w:rsidRPr="00A95385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 xml:space="preserve"> </w:t>
      </w:r>
      <w:r w:rsidR="00230595" w:rsidRPr="00A95385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1</w:t>
      </w:r>
      <w:r w:rsidR="008B7D11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6</w:t>
      </w:r>
      <w:r w:rsidR="009F1D38" w:rsidRPr="00A95385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 xml:space="preserve"> </w:t>
      </w:r>
      <w:r w:rsidRPr="00A95385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 xml:space="preserve">– </w:t>
      </w:r>
      <w:r w:rsidR="009F1E8B" w:rsidRPr="00A95385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 xml:space="preserve"> </w:t>
      </w:r>
      <w:r w:rsidR="008B7D11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17</w:t>
      </w:r>
      <w:r w:rsidR="007045C2" w:rsidRPr="00A95385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/</w:t>
      </w:r>
      <w:r w:rsidR="0016386C" w:rsidRPr="00A95385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0</w:t>
      </w:r>
      <w:r w:rsidR="008B7D11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6</w:t>
      </w:r>
      <w:r w:rsidRPr="00A95385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/2</w:t>
      </w:r>
      <w:bookmarkStart w:id="0" w:name="_GoBack"/>
      <w:bookmarkEnd w:id="0"/>
      <w:r w:rsidRPr="00A95385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02</w:t>
      </w:r>
      <w:r w:rsidR="00A95385" w:rsidRPr="00A95385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4</w:t>
      </w:r>
    </w:p>
    <w:p w:rsidR="00A95385" w:rsidRDefault="00A95385" w:rsidP="00A95385">
      <w:pPr>
        <w:shd w:val="clear" w:color="auto" w:fill="FFFFFF"/>
        <w:jc w:val="both"/>
        <w:rPr>
          <w:b/>
          <w:sz w:val="32"/>
          <w:szCs w:val="32"/>
        </w:rPr>
      </w:pPr>
    </w:p>
    <w:p w:rsidR="008B7D11" w:rsidRDefault="008B7D11" w:rsidP="008B7D11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</w:t>
      </w:r>
      <w:r>
        <w:rPr>
          <w:rFonts w:ascii="Times New Roman" w:hAnsi="Times New Roman"/>
          <w:b/>
          <w:sz w:val="36"/>
          <w:szCs w:val="36"/>
        </w:rPr>
        <w:t xml:space="preserve"> - Projeto de Lei nº 15/2024, do Legislativo. Autor: </w:t>
      </w:r>
      <w:proofErr w:type="spellStart"/>
      <w:r>
        <w:rPr>
          <w:rFonts w:ascii="Times New Roman" w:hAnsi="Times New Roman"/>
          <w:b/>
          <w:sz w:val="36"/>
          <w:szCs w:val="36"/>
        </w:rPr>
        <w:t>Jaffer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Ferreira e Demais Vereadores. Súmula: </w:t>
      </w:r>
      <w:r>
        <w:rPr>
          <w:rFonts w:ascii="Times New Roman" w:hAnsi="Times New Roman"/>
          <w:sz w:val="36"/>
          <w:szCs w:val="36"/>
        </w:rPr>
        <w:t>Institui o Programa “ IPTU” e autoriza o Poder Executivo a conceder isenção do Imposto Predial e Territorial Urbano (IPTU) para as pessoas de baixa renda cadastrada no Cadastro único do Governo Federal.</w:t>
      </w:r>
    </w:p>
    <w:p w:rsidR="008B7D11" w:rsidRPr="003E5D37" w:rsidRDefault="008B7D11" w:rsidP="008B7D11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8B7D11" w:rsidRDefault="008B7D11" w:rsidP="008B7D11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8B7D11" w:rsidRDefault="008B7D11" w:rsidP="008B7D11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 xml:space="preserve"> – Projeto de Lei nº 16/2024, do Legislativo. Autoria: </w:t>
      </w:r>
      <w:proofErr w:type="spellStart"/>
      <w:r>
        <w:rPr>
          <w:rFonts w:ascii="Times New Roman" w:hAnsi="Times New Roman"/>
          <w:b/>
          <w:sz w:val="36"/>
          <w:szCs w:val="36"/>
        </w:rPr>
        <w:t>Josane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Disner</w:t>
      </w:r>
      <w:proofErr w:type="spellEnd"/>
      <w:r>
        <w:rPr>
          <w:rFonts w:ascii="Times New Roman" w:hAnsi="Times New Roman"/>
          <w:b/>
          <w:sz w:val="36"/>
          <w:szCs w:val="36"/>
        </w:rPr>
        <w:t>. Súmula:</w:t>
      </w:r>
      <w:r>
        <w:rPr>
          <w:rFonts w:ascii="Times New Roman" w:hAnsi="Times New Roman"/>
          <w:sz w:val="36"/>
          <w:szCs w:val="36"/>
        </w:rPr>
        <w:t xml:space="preserve"> Dispõe sobre a fixação de placas informativas em imóveis dos quais a Administração Pública Municipal é locatária, e dá outras providências.</w:t>
      </w:r>
    </w:p>
    <w:p w:rsidR="008B7D11" w:rsidRPr="003E5D37" w:rsidRDefault="008B7D11" w:rsidP="008B7D11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8B7D11" w:rsidRDefault="008B7D11" w:rsidP="008B7D11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8B7D11" w:rsidRDefault="008B7D11" w:rsidP="00A95385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8B7D11" w:rsidSect="00DD187C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981" w:rsidRDefault="00537981" w:rsidP="005927EA">
      <w:pPr>
        <w:spacing w:after="0" w:line="240" w:lineRule="auto"/>
      </w:pPr>
      <w:r>
        <w:separator/>
      </w:r>
    </w:p>
  </w:endnote>
  <w:endnote w:type="continuationSeparator" w:id="0">
    <w:p w:rsidR="00537981" w:rsidRDefault="00537981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981" w:rsidRDefault="00537981" w:rsidP="005927EA">
      <w:pPr>
        <w:spacing w:after="0" w:line="240" w:lineRule="auto"/>
      </w:pPr>
      <w:r>
        <w:separator/>
      </w:r>
    </w:p>
  </w:footnote>
  <w:footnote w:type="continuationSeparator" w:id="0">
    <w:p w:rsidR="00537981" w:rsidRDefault="00537981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3" name="Imagem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B7D11" w:rsidRPr="008B7D11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B7D11" w:rsidRPr="008B7D11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B1F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0595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9789B"/>
    <w:rsid w:val="003A3CF2"/>
    <w:rsid w:val="003C2BE9"/>
    <w:rsid w:val="003C4C2C"/>
    <w:rsid w:val="003E0E6E"/>
    <w:rsid w:val="003E5D37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63442"/>
    <w:rsid w:val="00482C8E"/>
    <w:rsid w:val="00483B0D"/>
    <w:rsid w:val="004868EB"/>
    <w:rsid w:val="00486B26"/>
    <w:rsid w:val="00493CAA"/>
    <w:rsid w:val="004A4C22"/>
    <w:rsid w:val="004D16B7"/>
    <w:rsid w:val="004D76E9"/>
    <w:rsid w:val="004D7BC2"/>
    <w:rsid w:val="004E389E"/>
    <w:rsid w:val="004E5B27"/>
    <w:rsid w:val="004F3627"/>
    <w:rsid w:val="004F5B50"/>
    <w:rsid w:val="005054AB"/>
    <w:rsid w:val="00507FA9"/>
    <w:rsid w:val="00514FD3"/>
    <w:rsid w:val="0052113D"/>
    <w:rsid w:val="00521AB8"/>
    <w:rsid w:val="00523717"/>
    <w:rsid w:val="00527C68"/>
    <w:rsid w:val="005304EA"/>
    <w:rsid w:val="00537981"/>
    <w:rsid w:val="005444B6"/>
    <w:rsid w:val="00544F89"/>
    <w:rsid w:val="00546010"/>
    <w:rsid w:val="00560C2F"/>
    <w:rsid w:val="00565E6A"/>
    <w:rsid w:val="0059187D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715D1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214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6DA7"/>
    <w:rsid w:val="008B7D11"/>
    <w:rsid w:val="008B7DAE"/>
    <w:rsid w:val="008C0F4D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6464"/>
    <w:rsid w:val="00A73601"/>
    <w:rsid w:val="00A775DF"/>
    <w:rsid w:val="00A86CC8"/>
    <w:rsid w:val="00A95385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3906"/>
    <w:rsid w:val="00AE6AAD"/>
    <w:rsid w:val="00AE7425"/>
    <w:rsid w:val="00AF0F58"/>
    <w:rsid w:val="00AF2546"/>
    <w:rsid w:val="00AF5051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C0174F"/>
    <w:rsid w:val="00C05B99"/>
    <w:rsid w:val="00C13749"/>
    <w:rsid w:val="00C17ED3"/>
    <w:rsid w:val="00C20D81"/>
    <w:rsid w:val="00C40DED"/>
    <w:rsid w:val="00C53D79"/>
    <w:rsid w:val="00C553D7"/>
    <w:rsid w:val="00C767ED"/>
    <w:rsid w:val="00C77177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473D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E25B9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4FD6"/>
    <w:rsid w:val="00E46313"/>
    <w:rsid w:val="00E60A9A"/>
    <w:rsid w:val="00E650C5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A94A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8B7D11"/>
    <w:pPr>
      <w:spacing w:after="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26055-E38A-4AE1-BE32-1A1E8655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2024-05-20T17:47:00Z</cp:lastPrinted>
  <dcterms:created xsi:type="dcterms:W3CDTF">2024-06-17T12:14:00Z</dcterms:created>
  <dcterms:modified xsi:type="dcterms:W3CDTF">2024-06-17T12:15:00Z</dcterms:modified>
</cp:coreProperties>
</file>