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E3499A" w:rsidRDefault="00E3499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A12" w:rsidRDefault="00D42A12" w:rsidP="00D42A12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>
        <w:rPr>
          <w:rFonts w:ascii="Times New Roman" w:eastAsia="Palatino Linotype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caps/>
          <w:sz w:val="24"/>
          <w:szCs w:val="24"/>
        </w:rPr>
        <w:t xml:space="preserve"> - P</w:t>
      </w:r>
      <w:r>
        <w:rPr>
          <w:rFonts w:ascii="Times New Roman" w:hAnsi="Times New Roman"/>
          <w:b/>
          <w:sz w:val="24"/>
          <w:szCs w:val="24"/>
        </w:rPr>
        <w:t xml:space="preserve">rojeto de Lei nº 42/2021 do Legislativo: Autoria: Gertrudes Bernardy. </w:t>
      </w:r>
      <w:r>
        <w:rPr>
          <w:rFonts w:ascii="Times New Roman" w:hAnsi="Times New Roman"/>
          <w:bCs/>
          <w:sz w:val="24"/>
          <w:szCs w:val="24"/>
        </w:rPr>
        <w:t xml:space="preserve">Súmula: Regula a reserva exclusiva para Motocicletas ou veículos motorizados de duas rodas em estacionamentos públicos e </w:t>
      </w:r>
      <w:proofErr w:type="gramStart"/>
      <w:r>
        <w:rPr>
          <w:rFonts w:ascii="Times New Roman" w:hAnsi="Times New Roman"/>
          <w:bCs/>
          <w:sz w:val="24"/>
          <w:szCs w:val="24"/>
        </w:rPr>
        <w:t>da outras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providencias. A presente iniciativa tem a finalidade de dar maior segurança aos Motociclistas e garantir lhes vários acessos aos estacionamentos perto de locais de muito trafego tais como estabelecimentos comerciais e outros.     </w:t>
      </w:r>
      <w:bookmarkEnd w:id="0"/>
    </w:p>
    <w:p w:rsidR="00D42A12" w:rsidRDefault="00D42A12" w:rsidP="00D42A12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A34EFD" w:rsidRPr="00157BB3" w:rsidRDefault="00D42A12" w:rsidP="00D42A12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D42A12">
        <w:rPr>
          <w:rFonts w:ascii="Times New Roman" w:eastAsia="Palatino Linotype" w:hAnsi="Times New Roman"/>
          <w:b/>
          <w:sz w:val="24"/>
          <w:szCs w:val="24"/>
        </w:rPr>
        <w:t>2</w:t>
      </w:r>
      <w:r w:rsidR="00A34E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Projeto de Lei nº 40</w:t>
      </w:r>
      <w:r w:rsidR="00A34EFD"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/2022, do </w:t>
      </w:r>
      <w:r w:rsidR="00A34EFD">
        <w:rPr>
          <w:rFonts w:ascii="Times New Roman" w:hAnsi="Times New Roman"/>
          <w:b/>
          <w:color w:val="000000" w:themeColor="text1"/>
          <w:sz w:val="24"/>
          <w:szCs w:val="24"/>
        </w:rPr>
        <w:t>Executivo</w:t>
      </w:r>
      <w:r w:rsidR="00A34EFD"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Súmula: </w:t>
      </w:r>
      <w:r w:rsidR="00A34EFD" w:rsidRPr="00157BB3">
        <w:rPr>
          <w:rFonts w:ascii="Times New Roman" w:hAnsi="Times New Roman"/>
          <w:color w:val="000000" w:themeColor="text1"/>
          <w:sz w:val="24"/>
          <w:szCs w:val="24"/>
        </w:rPr>
        <w:t>Autoriza o Executivo Municipal a conceder revisão geral anual dos salários e vencimentos dos servidores municipais e dá outras providências.</w:t>
      </w:r>
    </w:p>
    <w:p w:rsidR="00A34EFD" w:rsidRDefault="00A34EFD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42A12" w:rsidRPr="00DA3F2C" w:rsidRDefault="00A34EFD" w:rsidP="00D42A12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3F2C">
        <w:rPr>
          <w:rFonts w:ascii="Times New Roman" w:eastAsia="Palatino Linotype" w:hAnsi="Times New Roman"/>
          <w:b/>
          <w:sz w:val="24"/>
          <w:szCs w:val="24"/>
        </w:rPr>
        <w:t>3</w:t>
      </w:r>
      <w:r w:rsidR="00AF0F58"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Projeto de Lei nº 1</w:t>
      </w:r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F0F58"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/2022, do Legislativo. Autoria: </w:t>
      </w:r>
      <w:proofErr w:type="spellStart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>Josane</w:t>
      </w:r>
      <w:proofErr w:type="spellEnd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>Disner</w:t>
      </w:r>
      <w:proofErr w:type="spellEnd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>Jaffer</w:t>
      </w:r>
      <w:proofErr w:type="spellEnd"/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Ferreira</w:t>
      </w:r>
      <w:r w:rsidR="00AF0F58" w:rsidRPr="00423911">
        <w:rPr>
          <w:rFonts w:ascii="Times New Roman" w:hAnsi="Times New Roman"/>
          <w:b/>
          <w:color w:val="000000" w:themeColor="text1"/>
          <w:sz w:val="24"/>
          <w:szCs w:val="24"/>
        </w:rPr>
        <w:t>. Súmula:</w:t>
      </w:r>
      <w:r w:rsidR="00AF0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F0F58" w:rsidRPr="00A640AA">
        <w:rPr>
          <w:rFonts w:ascii="Times New Roman" w:hAnsi="Times New Roman"/>
          <w:color w:val="000000" w:themeColor="text1"/>
          <w:sz w:val="24"/>
          <w:szCs w:val="24"/>
        </w:rPr>
        <w:t>Institui no âmbito do município de Ivaiporã “A ISENÇÃO DA TAXA DE INSCRIÇÃO PARA CONCURSOS PÚBLICOS MUNICIPAIS NO AMBITO DOS PODERES EXECUTIVO E LEGISLATIVO” dá outras providencias.</w:t>
      </w:r>
      <w:r w:rsidR="00AF0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A3F2C" w:rsidRDefault="00AF0F58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3F2C" w:rsidRDefault="00AF0F58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DA3F2C" w:rsidRPr="00DA3F2C">
        <w:rPr>
          <w:rFonts w:ascii="Times New Roman" w:eastAsia="Palatino Linotype" w:hAnsi="Times New Roman"/>
          <w:b/>
          <w:sz w:val="24"/>
          <w:szCs w:val="24"/>
        </w:rPr>
        <w:t>4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Projeto de Lei nº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/2022, do Legislativo. Autoria: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Jaffer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Ferreira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>. Súmula: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236AE">
        <w:rPr>
          <w:rFonts w:ascii="Times New Roman" w:hAnsi="Times New Roman"/>
          <w:color w:val="000000" w:themeColor="text1"/>
          <w:sz w:val="24"/>
          <w:szCs w:val="24"/>
        </w:rPr>
        <w:t>Institui a divulgação da listagem dos medicamentos disponíveis e em falta na rede pública municipal de Saúde.</w:t>
      </w:r>
    </w:p>
    <w:p w:rsid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A3F2C" w:rsidRP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5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Projeto de Lei nº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03</w:t>
      </w:r>
      <w:r w:rsidRPr="004239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/2022, do Legislativo. </w:t>
      </w:r>
      <w:r w:rsidRPr="00DA3F2C">
        <w:rPr>
          <w:rFonts w:ascii="Times New Roman" w:hAnsi="Times New Roman"/>
          <w:color w:val="000000" w:themeColor="text1"/>
          <w:sz w:val="24"/>
          <w:szCs w:val="24"/>
        </w:rPr>
        <w:t>Súmula</w:t>
      </w:r>
      <w:r w:rsidRPr="00DA3F2C">
        <w:t xml:space="preserve"> </w:t>
      </w:r>
      <w:r w:rsidRPr="00DA3F2C">
        <w:rPr>
          <w:rFonts w:ascii="Times New Roman" w:hAnsi="Times New Roman"/>
          <w:color w:val="000000" w:themeColor="text1"/>
          <w:sz w:val="24"/>
          <w:szCs w:val="24"/>
        </w:rPr>
        <w:t>concede reajuste, a título de revisão geral anual aos subsídios dos vereadores da Câmara Municipal de Ivaiporã, relativa à inflação acumulada no ano de 2021, e dá outras providências.</w:t>
      </w:r>
    </w:p>
    <w:p w:rsid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A3F2C" w:rsidRDefault="00DA3F2C" w:rsidP="00DA3F2C">
      <w:pPr>
        <w:pStyle w:val="SemEspaamen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contextualSpacing/>
        <w:jc w:val="both"/>
        <w:rPr>
          <w:b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DA3F2C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EE" w:rsidRDefault="000145EE" w:rsidP="005927EA">
      <w:pPr>
        <w:spacing w:after="0" w:line="240" w:lineRule="auto"/>
      </w:pPr>
      <w:r>
        <w:separator/>
      </w:r>
    </w:p>
  </w:endnote>
  <w:endnote w:type="continuationSeparator" w:id="0">
    <w:p w:rsidR="000145EE" w:rsidRDefault="000145E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EE" w:rsidRDefault="000145EE" w:rsidP="005927EA">
      <w:pPr>
        <w:spacing w:after="0" w:line="240" w:lineRule="auto"/>
      </w:pPr>
      <w:r>
        <w:separator/>
      </w:r>
    </w:p>
  </w:footnote>
  <w:footnote w:type="continuationSeparator" w:id="0">
    <w:p w:rsidR="000145EE" w:rsidRDefault="000145E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1547B" w:rsidRPr="00E1547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1547B" w:rsidRPr="00E1547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2D2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7AD3-D1E0-4240-AEF4-2E5E6616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2022-05-16T17:44:00Z</cp:lastPrinted>
  <dcterms:created xsi:type="dcterms:W3CDTF">2022-05-16T11:56:00Z</dcterms:created>
  <dcterms:modified xsi:type="dcterms:W3CDTF">2022-05-16T17:50:00Z</dcterms:modified>
</cp:coreProperties>
</file>