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CEA" w:rsidRPr="00DD2D51" w:rsidRDefault="00061CEA" w:rsidP="00061CEA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D2D51">
        <w:rPr>
          <w:rFonts w:ascii="Times New Roman" w:hAnsi="Times New Roman" w:cs="Times New Roman"/>
          <w:b/>
          <w:sz w:val="24"/>
          <w:szCs w:val="24"/>
        </w:rPr>
        <w:t xml:space="preserve">REUNIÃO DAS COMISSÕES PERMANENTES </w:t>
      </w:r>
      <w:r w:rsidRPr="00DD2D51">
        <w:rPr>
          <w:rFonts w:ascii="Times New Roman" w:hAnsi="Times New Roman" w:cs="Times New Roman"/>
          <w:bCs/>
          <w:sz w:val="24"/>
          <w:szCs w:val="24"/>
        </w:rPr>
        <w:t xml:space="preserve">Pauta nº </w:t>
      </w:r>
      <w:r w:rsidR="00E90DBB">
        <w:rPr>
          <w:rFonts w:ascii="Times New Roman" w:hAnsi="Times New Roman" w:cs="Times New Roman"/>
          <w:bCs/>
          <w:sz w:val="24"/>
          <w:szCs w:val="24"/>
        </w:rPr>
        <w:t>04</w:t>
      </w:r>
      <w:r w:rsidRPr="00DD2D51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E90DBB">
        <w:rPr>
          <w:rFonts w:ascii="Times New Roman" w:hAnsi="Times New Roman" w:cs="Times New Roman"/>
          <w:bCs/>
          <w:sz w:val="24"/>
          <w:szCs w:val="24"/>
        </w:rPr>
        <w:t>21</w:t>
      </w:r>
      <w:r w:rsidRPr="00DD2D51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>03</w:t>
      </w:r>
      <w:r w:rsidRPr="00DD2D51">
        <w:rPr>
          <w:rFonts w:ascii="Times New Roman" w:hAnsi="Times New Roman" w:cs="Times New Roman"/>
          <w:bCs/>
          <w:sz w:val="24"/>
          <w:szCs w:val="24"/>
        </w:rPr>
        <w:t>/202</w:t>
      </w:r>
      <w:r>
        <w:rPr>
          <w:rFonts w:ascii="Times New Roman" w:hAnsi="Times New Roman" w:cs="Times New Roman"/>
          <w:bCs/>
          <w:sz w:val="24"/>
          <w:szCs w:val="24"/>
        </w:rPr>
        <w:t>2</w:t>
      </w:r>
    </w:p>
    <w:p w:rsidR="00814372" w:rsidRPr="00061CEA" w:rsidRDefault="00E90DBB" w:rsidP="00061CEA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sz w:val="24"/>
          <w:szCs w:val="24"/>
        </w:rPr>
      </w:pPr>
      <w:r>
        <w:rPr>
          <w:rFonts w:ascii="Times New Roman" w:eastAsia="Palatino Linotype" w:hAnsi="Times New Roman"/>
          <w:b/>
          <w:sz w:val="24"/>
          <w:szCs w:val="24"/>
        </w:rPr>
        <w:t>01</w:t>
      </w:r>
      <w:r w:rsidR="00814372" w:rsidRPr="00061CEA">
        <w:rPr>
          <w:rFonts w:ascii="Times New Roman" w:hAnsi="Times New Roman"/>
          <w:b/>
          <w:sz w:val="24"/>
          <w:szCs w:val="24"/>
        </w:rPr>
        <w:t xml:space="preserve"> - Projeto de Lei nº 12/2022, do Executivo.</w:t>
      </w:r>
      <w:r w:rsidR="00814372" w:rsidRPr="00061CEA">
        <w:rPr>
          <w:rFonts w:ascii="Times New Roman" w:hAnsi="Times New Roman"/>
          <w:sz w:val="24"/>
          <w:szCs w:val="24"/>
        </w:rPr>
        <w:t xml:space="preserve"> Súmula: Autoriza a abertura de Créditos Adicionais suplementares, e dá outras providências. (Limite de até 30% do total das despesas fixadas, para a Câmara Municipal e a Administração Direta).</w:t>
      </w:r>
      <w:r w:rsidR="00814372" w:rsidRPr="00061CEA">
        <w:rPr>
          <w:rFonts w:ascii="Times New Roman" w:eastAsia="Palatino Linotype" w:hAnsi="Times New Roman"/>
          <w:b/>
          <w:sz w:val="24"/>
          <w:szCs w:val="24"/>
        </w:rPr>
        <w:t xml:space="preserve"> </w:t>
      </w:r>
    </w:p>
    <w:p w:rsidR="00E90DBB" w:rsidRPr="004F6ADC" w:rsidRDefault="00E90DBB" w:rsidP="00E90DBB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02 </w:t>
      </w:r>
      <w:r w:rsidRPr="004F6ADC">
        <w:rPr>
          <w:rFonts w:ascii="Times New Roman" w:hAnsi="Times New Roman"/>
          <w:sz w:val="24"/>
          <w:szCs w:val="24"/>
        </w:rPr>
        <w:t>-</w:t>
      </w:r>
      <w:r w:rsidRPr="004F6ADC">
        <w:rPr>
          <w:rFonts w:ascii="Times New Roman" w:hAnsi="Times New Roman"/>
          <w:b/>
          <w:sz w:val="24"/>
          <w:szCs w:val="24"/>
        </w:rPr>
        <w:t xml:space="preserve"> Proposta de Emenda Modificativa nº 1/2022, ao Projeto de Lei nº 12/2022 do Executivo. Súmula:</w:t>
      </w:r>
      <w:r w:rsidRPr="004F6ADC">
        <w:rPr>
          <w:rFonts w:ascii="Times New Roman" w:hAnsi="Times New Roman"/>
          <w:sz w:val="24"/>
          <w:szCs w:val="24"/>
        </w:rPr>
        <w:t xml:space="preserve"> Modifica o Projeto de Lei nº 12/2022 do Poder Executivo, para fins de adequação da norma legislativa. </w:t>
      </w:r>
      <w:r w:rsidRPr="004F6ADC">
        <w:rPr>
          <w:rFonts w:ascii="Times New Roman" w:hAnsi="Times New Roman"/>
          <w:b/>
          <w:sz w:val="24"/>
          <w:szCs w:val="24"/>
        </w:rPr>
        <w:t>(Dispensa de interstício)</w:t>
      </w:r>
      <w:r w:rsidRPr="004F6ADC">
        <w:rPr>
          <w:rFonts w:ascii="Times New Roman" w:hAnsi="Times New Roman"/>
          <w:sz w:val="24"/>
          <w:szCs w:val="24"/>
        </w:rPr>
        <w:t>.</w:t>
      </w:r>
    </w:p>
    <w:p w:rsidR="00E90DBB" w:rsidRPr="008A7EDC" w:rsidRDefault="00E90DBB" w:rsidP="00E90DBB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Finanças              </w:t>
      </w:r>
    </w:p>
    <w:p w:rsidR="00E90DBB" w:rsidRDefault="00E90DBB" w:rsidP="00E90DBB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</w:p>
    <w:p w:rsidR="00E90DBB" w:rsidRDefault="00E90DBB" w:rsidP="00E90DBB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03 </w:t>
      </w:r>
      <w:r w:rsidRPr="004F6ADC">
        <w:rPr>
          <w:rFonts w:ascii="Times New Roman" w:hAnsi="Times New Roman"/>
          <w:sz w:val="24"/>
          <w:szCs w:val="24"/>
        </w:rPr>
        <w:t>-</w:t>
      </w:r>
      <w:r w:rsidRPr="004F6ADC">
        <w:rPr>
          <w:rFonts w:ascii="Times New Roman" w:hAnsi="Times New Roman"/>
          <w:b/>
          <w:sz w:val="24"/>
          <w:szCs w:val="24"/>
        </w:rPr>
        <w:t xml:space="preserve"> Projeto de Lei nº 24/2022, do Executivo. Súmula:</w:t>
      </w:r>
      <w:r w:rsidRPr="004F6ADC">
        <w:rPr>
          <w:rFonts w:ascii="Times New Roman" w:hAnsi="Times New Roman"/>
          <w:sz w:val="24"/>
          <w:szCs w:val="24"/>
        </w:rPr>
        <w:t xml:space="preserve"> Introduz alterações na Lei Municipal nº 3.538/2021, que autoriza a doação de terreno ao Estado do Paraná, e dá outras providências.</w:t>
      </w:r>
    </w:p>
    <w:p w:rsidR="00E90DBB" w:rsidRPr="008A7EDC" w:rsidRDefault="00E90DBB" w:rsidP="00E90DBB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Finanças               (     ) Obras                (     ) Educação</w:t>
      </w:r>
    </w:p>
    <w:p w:rsidR="00E90DBB" w:rsidRDefault="00E90DBB" w:rsidP="00E90DBB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</w:p>
    <w:p w:rsidR="00E90DBB" w:rsidRDefault="00E90DBB" w:rsidP="00E90DBB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04</w:t>
      </w:r>
      <w:r w:rsidRPr="004F6ADC">
        <w:rPr>
          <w:rFonts w:ascii="Times New Roman" w:hAnsi="Times New Roman"/>
          <w:b/>
          <w:sz w:val="24"/>
          <w:szCs w:val="24"/>
        </w:rPr>
        <w:t xml:space="preserve"> </w:t>
      </w:r>
      <w:r w:rsidRPr="004F6ADC">
        <w:rPr>
          <w:rFonts w:ascii="Times New Roman" w:hAnsi="Times New Roman"/>
          <w:sz w:val="24"/>
          <w:szCs w:val="24"/>
        </w:rPr>
        <w:t>-</w:t>
      </w:r>
      <w:r w:rsidRPr="004F6ADC">
        <w:rPr>
          <w:rFonts w:ascii="Times New Roman" w:hAnsi="Times New Roman"/>
          <w:b/>
          <w:sz w:val="24"/>
          <w:szCs w:val="24"/>
        </w:rPr>
        <w:t xml:space="preserve"> Projeto de Lei nº 25/2022, do Executivo. Súmula:</w:t>
      </w:r>
      <w:r w:rsidRPr="004F6ADC">
        <w:rPr>
          <w:rFonts w:ascii="Times New Roman" w:hAnsi="Times New Roman"/>
          <w:sz w:val="24"/>
          <w:szCs w:val="24"/>
        </w:rPr>
        <w:t xml:space="preserve"> Altera a denominação do Centro de Eventos Vera Vargas</w:t>
      </w:r>
      <w:r>
        <w:rPr>
          <w:rFonts w:ascii="Times New Roman" w:hAnsi="Times New Roman"/>
          <w:sz w:val="24"/>
          <w:szCs w:val="24"/>
        </w:rPr>
        <w:t>, neste Município</w:t>
      </w:r>
      <w:r w:rsidRPr="004F6ADC">
        <w:rPr>
          <w:rFonts w:ascii="Times New Roman" w:hAnsi="Times New Roman"/>
          <w:sz w:val="24"/>
          <w:szCs w:val="24"/>
        </w:rPr>
        <w:t xml:space="preserve">, para “Centro de Eventos Olívia Veríssima do Carmo </w:t>
      </w:r>
      <w:proofErr w:type="spellStart"/>
      <w:r w:rsidRPr="004F6ADC">
        <w:rPr>
          <w:rFonts w:ascii="Times New Roman" w:hAnsi="Times New Roman"/>
          <w:sz w:val="24"/>
          <w:szCs w:val="24"/>
        </w:rPr>
        <w:t>Hauptmann</w:t>
      </w:r>
      <w:proofErr w:type="spellEnd"/>
      <w:r w:rsidRPr="004F6ADC">
        <w:rPr>
          <w:rFonts w:ascii="Times New Roman" w:hAnsi="Times New Roman"/>
          <w:sz w:val="24"/>
          <w:szCs w:val="24"/>
        </w:rPr>
        <w:t>”, e dá outras providências.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90DBB" w:rsidRPr="008A7EDC" w:rsidRDefault="00E90DBB" w:rsidP="00E90DBB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Finanças      </w:t>
      </w:r>
      <w:r w:rsid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</w:t>
      </w:r>
      <w:r w:rsidR="008A7EDC"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>(     ) Educação</w:t>
      </w:r>
    </w:p>
    <w:p w:rsidR="00E90DBB" w:rsidRDefault="00E90DBB" w:rsidP="00E90DBB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</w:p>
    <w:p w:rsidR="00E90DBB" w:rsidRPr="00061CEA" w:rsidRDefault="00E90DBB" w:rsidP="00E90DBB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05</w:t>
      </w:r>
      <w:r w:rsidRPr="00061CE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61CEA">
        <w:rPr>
          <w:rFonts w:ascii="Times New Roman" w:hAnsi="Times New Roman"/>
          <w:b/>
          <w:sz w:val="24"/>
          <w:szCs w:val="24"/>
        </w:rPr>
        <w:t xml:space="preserve">– Projeto de Lei nº 92/2021 do Poder Executivo. Súmula: </w:t>
      </w:r>
      <w:r w:rsidRPr="00061CEA">
        <w:rPr>
          <w:rFonts w:ascii="Times New Roman" w:hAnsi="Times New Roman"/>
          <w:bCs/>
          <w:sz w:val="24"/>
          <w:szCs w:val="24"/>
        </w:rPr>
        <w:t xml:space="preserve">Autoriza o Executivo Municipal a utilizar área institucional para fomentar o setor industrial em observância à Lei Municipal nº 1.940/2011, e dá outras providências. Como a própria nomenclatura do Loteamento fala por si, o mesmo é exclusivo para implantação dos seguimentos industrial e de serviços, vindo ao encontro do atendimento das necessidades da administração municipal de forma a incentivar e fomentar a atividade industrial e de serviços em nosso município, contribuindo assim, para o aumento de emprego, renda e o ingresso de divisas na economia local do nosso Município, bem como aumentar a participação no mercado regional. </w:t>
      </w:r>
    </w:p>
    <w:p w:rsidR="00E90DBB" w:rsidRPr="008A7EDC" w:rsidRDefault="00E90DBB" w:rsidP="00E90DBB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Finanças               (     ) Obras                </w:t>
      </w:r>
    </w:p>
    <w:p w:rsidR="001222F0" w:rsidRDefault="00E90DBB" w:rsidP="00E90DBB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</w:p>
    <w:p w:rsidR="001222F0" w:rsidRDefault="001222F0" w:rsidP="001222F0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sz w:val="24"/>
          <w:szCs w:val="24"/>
        </w:rPr>
      </w:pPr>
    </w:p>
    <w:p w:rsidR="001222F0" w:rsidRDefault="001222F0" w:rsidP="001222F0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sz w:val="24"/>
          <w:szCs w:val="24"/>
        </w:rPr>
      </w:pPr>
    </w:p>
    <w:p w:rsidR="001222F0" w:rsidRDefault="001222F0" w:rsidP="001222F0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sz w:val="24"/>
          <w:szCs w:val="24"/>
        </w:rPr>
      </w:pPr>
    </w:p>
    <w:p w:rsidR="001222F0" w:rsidRDefault="001222F0" w:rsidP="001222F0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sz w:val="24"/>
          <w:szCs w:val="24"/>
        </w:rPr>
      </w:pPr>
    </w:p>
    <w:p w:rsidR="001222F0" w:rsidRDefault="001222F0" w:rsidP="00E90DBB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sz w:val="24"/>
          <w:szCs w:val="24"/>
        </w:rPr>
      </w:pPr>
    </w:p>
    <w:p w:rsidR="001222F0" w:rsidRDefault="001222F0" w:rsidP="001222F0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sz w:val="24"/>
          <w:szCs w:val="24"/>
        </w:rPr>
      </w:pPr>
    </w:p>
    <w:p w:rsidR="001222F0" w:rsidRDefault="001222F0" w:rsidP="001222F0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sz w:val="24"/>
          <w:szCs w:val="24"/>
        </w:rPr>
      </w:pPr>
      <w:bookmarkStart w:id="0" w:name="_GoBack"/>
      <w:bookmarkEnd w:id="0"/>
    </w:p>
    <w:p w:rsidR="001222F0" w:rsidRDefault="001222F0" w:rsidP="001222F0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sz w:val="24"/>
          <w:szCs w:val="24"/>
        </w:rPr>
      </w:pPr>
    </w:p>
    <w:p w:rsidR="001222F0" w:rsidRDefault="001222F0" w:rsidP="001222F0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sz w:val="24"/>
          <w:szCs w:val="24"/>
        </w:rPr>
      </w:pPr>
    </w:p>
    <w:p w:rsidR="001222F0" w:rsidRDefault="001222F0" w:rsidP="001222F0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sz w:val="24"/>
          <w:szCs w:val="24"/>
        </w:rPr>
      </w:pPr>
    </w:p>
    <w:p w:rsidR="001222F0" w:rsidRDefault="001222F0" w:rsidP="001222F0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sz w:val="24"/>
          <w:szCs w:val="24"/>
        </w:rPr>
      </w:pPr>
    </w:p>
    <w:p w:rsidR="001222F0" w:rsidRDefault="001222F0" w:rsidP="001222F0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sz w:val="24"/>
          <w:szCs w:val="24"/>
        </w:rPr>
      </w:pPr>
    </w:p>
    <w:p w:rsidR="001222F0" w:rsidRDefault="001222F0" w:rsidP="001222F0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sz w:val="24"/>
          <w:szCs w:val="24"/>
        </w:rPr>
      </w:pPr>
    </w:p>
    <w:p w:rsidR="001222F0" w:rsidRDefault="001222F0" w:rsidP="001222F0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sz w:val="24"/>
          <w:szCs w:val="24"/>
        </w:rPr>
      </w:pPr>
    </w:p>
    <w:p w:rsidR="001222F0" w:rsidRPr="00DD2D51" w:rsidRDefault="001222F0" w:rsidP="001222F0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D2D5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REUNIÃO DAS COMISSÕES PERMANENTES </w:t>
      </w:r>
      <w:r w:rsidRPr="00DD2D51">
        <w:rPr>
          <w:rFonts w:ascii="Times New Roman" w:hAnsi="Times New Roman" w:cs="Times New Roman"/>
          <w:bCs/>
          <w:sz w:val="24"/>
          <w:szCs w:val="24"/>
        </w:rPr>
        <w:t xml:space="preserve">Pauta nº </w:t>
      </w: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E90DBB">
        <w:rPr>
          <w:rFonts w:ascii="Times New Roman" w:hAnsi="Times New Roman" w:cs="Times New Roman"/>
          <w:bCs/>
          <w:sz w:val="24"/>
          <w:szCs w:val="24"/>
        </w:rPr>
        <w:t>4</w:t>
      </w:r>
      <w:r w:rsidRPr="00DD2D51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E90DBB">
        <w:rPr>
          <w:rFonts w:ascii="Times New Roman" w:hAnsi="Times New Roman" w:cs="Times New Roman"/>
          <w:bCs/>
          <w:sz w:val="24"/>
          <w:szCs w:val="24"/>
        </w:rPr>
        <w:t>21</w:t>
      </w:r>
      <w:r w:rsidRPr="00DD2D51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>03</w:t>
      </w:r>
      <w:r w:rsidRPr="00DD2D51">
        <w:rPr>
          <w:rFonts w:ascii="Times New Roman" w:hAnsi="Times New Roman" w:cs="Times New Roman"/>
          <w:bCs/>
          <w:sz w:val="24"/>
          <w:szCs w:val="24"/>
        </w:rPr>
        <w:t>/202</w:t>
      </w:r>
      <w:r>
        <w:rPr>
          <w:rFonts w:ascii="Times New Roman" w:hAnsi="Times New Roman" w:cs="Times New Roman"/>
          <w:bCs/>
          <w:sz w:val="24"/>
          <w:szCs w:val="24"/>
        </w:rPr>
        <w:t>2</w:t>
      </w:r>
    </w:p>
    <w:p w:rsidR="001222F0" w:rsidRDefault="001222F0" w:rsidP="001222F0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61CEA">
        <w:rPr>
          <w:rFonts w:ascii="Times New Roman" w:hAnsi="Times New Roman"/>
          <w:b/>
          <w:sz w:val="24"/>
          <w:szCs w:val="24"/>
          <w:highlight w:val="yellow"/>
        </w:rPr>
        <w:t>PLANO DIRETOR</w:t>
      </w:r>
    </w:p>
    <w:p w:rsidR="001222F0" w:rsidRDefault="001222F0" w:rsidP="001222F0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AE14F8">
        <w:rPr>
          <w:rFonts w:ascii="Times New Roman" w:hAnsi="Times New Roman"/>
          <w:b/>
          <w:sz w:val="24"/>
          <w:szCs w:val="24"/>
        </w:rPr>
        <w:t xml:space="preserve"> – Projeto de Lei Complementar nº 6/2021, do Executivo</w:t>
      </w:r>
      <w:r>
        <w:rPr>
          <w:rFonts w:ascii="Times New Roman" w:hAnsi="Times New Roman"/>
          <w:sz w:val="24"/>
          <w:szCs w:val="24"/>
        </w:rPr>
        <w:t>. Súmula: Dispõe sobre o uso e ocupação do solo no Município de Ivaiporã, e dá outras providências.</w:t>
      </w:r>
    </w:p>
    <w:p w:rsidR="001222F0" w:rsidRDefault="001222F0" w:rsidP="001222F0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AE14F8">
        <w:rPr>
          <w:rFonts w:ascii="Times New Roman" w:hAnsi="Times New Roman"/>
          <w:b/>
          <w:sz w:val="24"/>
          <w:szCs w:val="24"/>
        </w:rPr>
        <w:t xml:space="preserve"> – Projeto de Lei Complementar nº </w:t>
      </w:r>
      <w:r>
        <w:rPr>
          <w:rFonts w:ascii="Times New Roman" w:hAnsi="Times New Roman"/>
          <w:b/>
          <w:sz w:val="24"/>
          <w:szCs w:val="24"/>
        </w:rPr>
        <w:t>7</w:t>
      </w:r>
      <w:r w:rsidRPr="00AE14F8">
        <w:rPr>
          <w:rFonts w:ascii="Times New Roman" w:hAnsi="Times New Roman"/>
          <w:b/>
          <w:sz w:val="24"/>
          <w:szCs w:val="24"/>
        </w:rPr>
        <w:t>/2021, do Executivo</w:t>
      </w:r>
      <w:r>
        <w:rPr>
          <w:rFonts w:ascii="Times New Roman" w:hAnsi="Times New Roman"/>
          <w:sz w:val="24"/>
          <w:szCs w:val="24"/>
        </w:rPr>
        <w:t>. Súmula: Dispõe sobre o Plano Diretor do Município de Ivaiporã, revoga a Lei nº 1.517, de 26 de maio de 2008, e dá outras providências.</w:t>
      </w:r>
    </w:p>
    <w:p w:rsidR="001222F0" w:rsidRDefault="001222F0" w:rsidP="001222F0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AE14F8">
        <w:rPr>
          <w:rFonts w:ascii="Times New Roman" w:hAnsi="Times New Roman"/>
          <w:b/>
          <w:sz w:val="24"/>
          <w:szCs w:val="24"/>
        </w:rPr>
        <w:t xml:space="preserve"> – Projeto de Lei Complementar nº </w:t>
      </w:r>
      <w:r>
        <w:rPr>
          <w:rFonts w:ascii="Times New Roman" w:hAnsi="Times New Roman"/>
          <w:b/>
          <w:sz w:val="24"/>
          <w:szCs w:val="24"/>
        </w:rPr>
        <w:t>8</w:t>
      </w:r>
      <w:r w:rsidRPr="00AE14F8">
        <w:rPr>
          <w:rFonts w:ascii="Times New Roman" w:hAnsi="Times New Roman"/>
          <w:b/>
          <w:sz w:val="24"/>
          <w:szCs w:val="24"/>
        </w:rPr>
        <w:t>/2021, do Executivo</w:t>
      </w:r>
      <w:r>
        <w:rPr>
          <w:rFonts w:ascii="Times New Roman" w:hAnsi="Times New Roman"/>
          <w:sz w:val="24"/>
          <w:szCs w:val="24"/>
        </w:rPr>
        <w:t>. Súmula: Regulamenta o Instrumento Urbanístico da Outorga Onerosa do Direito de Construir, nos termos da legislação que institui o Plano Diretor, e dá outras providências.</w:t>
      </w:r>
    </w:p>
    <w:p w:rsidR="001222F0" w:rsidRDefault="001222F0" w:rsidP="001222F0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AE14F8">
        <w:rPr>
          <w:rFonts w:ascii="Times New Roman" w:hAnsi="Times New Roman"/>
          <w:b/>
          <w:sz w:val="24"/>
          <w:szCs w:val="24"/>
        </w:rPr>
        <w:t xml:space="preserve"> – Projeto de Lei Complementar nº </w:t>
      </w:r>
      <w:r>
        <w:rPr>
          <w:rFonts w:ascii="Times New Roman" w:hAnsi="Times New Roman"/>
          <w:b/>
          <w:sz w:val="24"/>
          <w:szCs w:val="24"/>
        </w:rPr>
        <w:t>9</w:t>
      </w:r>
      <w:r w:rsidRPr="00AE14F8">
        <w:rPr>
          <w:rFonts w:ascii="Times New Roman" w:hAnsi="Times New Roman"/>
          <w:b/>
          <w:sz w:val="24"/>
          <w:szCs w:val="24"/>
        </w:rPr>
        <w:t>/2021, do Executivo</w:t>
      </w:r>
      <w:r>
        <w:rPr>
          <w:rFonts w:ascii="Times New Roman" w:hAnsi="Times New Roman"/>
          <w:sz w:val="24"/>
          <w:szCs w:val="24"/>
        </w:rPr>
        <w:t>. Súmula: Dispõe sobre a delimitação dos perímetros urbanos do Município de Ivaiporã, revoga as leis municipais relativas aos perímetros urbanos, e dá outras providências.</w:t>
      </w:r>
    </w:p>
    <w:p w:rsidR="001222F0" w:rsidRDefault="001222F0" w:rsidP="001222F0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Pr="00AE14F8">
        <w:rPr>
          <w:rFonts w:ascii="Times New Roman" w:hAnsi="Times New Roman"/>
          <w:b/>
          <w:sz w:val="24"/>
          <w:szCs w:val="24"/>
        </w:rPr>
        <w:t xml:space="preserve"> – Projeto de Lei Complementar nº </w:t>
      </w:r>
      <w:r>
        <w:rPr>
          <w:rFonts w:ascii="Times New Roman" w:hAnsi="Times New Roman"/>
          <w:b/>
          <w:sz w:val="24"/>
          <w:szCs w:val="24"/>
        </w:rPr>
        <w:t>10</w:t>
      </w:r>
      <w:r w:rsidRPr="00AE14F8">
        <w:rPr>
          <w:rFonts w:ascii="Times New Roman" w:hAnsi="Times New Roman"/>
          <w:b/>
          <w:sz w:val="24"/>
          <w:szCs w:val="24"/>
        </w:rPr>
        <w:t>/2021, do Executivo</w:t>
      </w:r>
      <w:r>
        <w:rPr>
          <w:rFonts w:ascii="Times New Roman" w:hAnsi="Times New Roman"/>
          <w:sz w:val="24"/>
          <w:szCs w:val="24"/>
        </w:rPr>
        <w:t>. Súmula: Dispõe sobre a Transparência do Direito de Construir no Município de Ivaiporã, e dá outras providências.</w:t>
      </w:r>
    </w:p>
    <w:p w:rsidR="001222F0" w:rsidRDefault="001222F0" w:rsidP="001222F0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AE14F8">
        <w:rPr>
          <w:rFonts w:ascii="Times New Roman" w:hAnsi="Times New Roman"/>
          <w:b/>
          <w:sz w:val="24"/>
          <w:szCs w:val="24"/>
        </w:rPr>
        <w:t xml:space="preserve"> – Projeto de Lei Complementar nº </w:t>
      </w:r>
      <w:r>
        <w:rPr>
          <w:rFonts w:ascii="Times New Roman" w:hAnsi="Times New Roman"/>
          <w:b/>
          <w:sz w:val="24"/>
          <w:szCs w:val="24"/>
        </w:rPr>
        <w:t>11</w:t>
      </w:r>
      <w:r w:rsidRPr="00AE14F8">
        <w:rPr>
          <w:rFonts w:ascii="Times New Roman" w:hAnsi="Times New Roman"/>
          <w:b/>
          <w:sz w:val="24"/>
          <w:szCs w:val="24"/>
        </w:rPr>
        <w:t>/2021, do Executivo</w:t>
      </w:r>
      <w:r>
        <w:rPr>
          <w:rFonts w:ascii="Times New Roman" w:hAnsi="Times New Roman"/>
          <w:sz w:val="24"/>
          <w:szCs w:val="24"/>
        </w:rPr>
        <w:t>. Súmula: Dispõe sobre o Parcelamento do Solo Urbano e Condomínios no Município de Ivaiporã, e dá outras providências.</w:t>
      </w:r>
    </w:p>
    <w:p w:rsidR="001222F0" w:rsidRDefault="001222F0" w:rsidP="001222F0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Pr="00AE14F8">
        <w:rPr>
          <w:rFonts w:ascii="Times New Roman" w:hAnsi="Times New Roman"/>
          <w:b/>
          <w:sz w:val="24"/>
          <w:szCs w:val="24"/>
        </w:rPr>
        <w:t xml:space="preserve"> – Projeto de Lei Complementar nº </w:t>
      </w:r>
      <w:r>
        <w:rPr>
          <w:rFonts w:ascii="Times New Roman" w:hAnsi="Times New Roman"/>
          <w:b/>
          <w:sz w:val="24"/>
          <w:szCs w:val="24"/>
        </w:rPr>
        <w:t>12</w:t>
      </w:r>
      <w:r w:rsidRPr="00AE14F8">
        <w:rPr>
          <w:rFonts w:ascii="Times New Roman" w:hAnsi="Times New Roman"/>
          <w:b/>
          <w:sz w:val="24"/>
          <w:szCs w:val="24"/>
        </w:rPr>
        <w:t>/2021, do Executivo</w:t>
      </w:r>
      <w:r>
        <w:rPr>
          <w:rFonts w:ascii="Times New Roman" w:hAnsi="Times New Roman"/>
          <w:sz w:val="24"/>
          <w:szCs w:val="24"/>
        </w:rPr>
        <w:t>. Súmula: Dispõe sobre o Sistema Viário Básico do Município de Ivaiporã, e dá outras providências.</w:t>
      </w:r>
    </w:p>
    <w:p w:rsidR="001222F0" w:rsidRDefault="001222F0" w:rsidP="001222F0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Pr="00AE14F8">
        <w:rPr>
          <w:rFonts w:ascii="Times New Roman" w:hAnsi="Times New Roman"/>
          <w:b/>
          <w:sz w:val="24"/>
          <w:szCs w:val="24"/>
        </w:rPr>
        <w:t xml:space="preserve"> – Projeto de Lei Complementar nº </w:t>
      </w:r>
      <w:r>
        <w:rPr>
          <w:rFonts w:ascii="Times New Roman" w:hAnsi="Times New Roman"/>
          <w:b/>
          <w:sz w:val="24"/>
          <w:szCs w:val="24"/>
        </w:rPr>
        <w:t>13</w:t>
      </w:r>
      <w:r w:rsidRPr="00AE14F8">
        <w:rPr>
          <w:rFonts w:ascii="Times New Roman" w:hAnsi="Times New Roman"/>
          <w:b/>
          <w:sz w:val="24"/>
          <w:szCs w:val="24"/>
        </w:rPr>
        <w:t>/2021, do Executivo</w:t>
      </w:r>
      <w:r>
        <w:rPr>
          <w:rFonts w:ascii="Times New Roman" w:hAnsi="Times New Roman"/>
          <w:sz w:val="24"/>
          <w:szCs w:val="24"/>
        </w:rPr>
        <w:t>. Súmula: Dispõe sobre o Código de Posturas no Município de Ivaiporã, e dá outras providências.</w:t>
      </w:r>
    </w:p>
    <w:p w:rsidR="001222F0" w:rsidRDefault="001222F0" w:rsidP="001222F0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Pr="00AE14F8">
        <w:rPr>
          <w:rFonts w:ascii="Times New Roman" w:hAnsi="Times New Roman"/>
          <w:b/>
          <w:sz w:val="24"/>
          <w:szCs w:val="24"/>
        </w:rPr>
        <w:t xml:space="preserve"> – Projeto de Lei Complementar nº </w:t>
      </w:r>
      <w:r>
        <w:rPr>
          <w:rFonts w:ascii="Times New Roman" w:hAnsi="Times New Roman"/>
          <w:b/>
          <w:sz w:val="24"/>
          <w:szCs w:val="24"/>
        </w:rPr>
        <w:t>14</w:t>
      </w:r>
      <w:r w:rsidRPr="00AE14F8">
        <w:rPr>
          <w:rFonts w:ascii="Times New Roman" w:hAnsi="Times New Roman"/>
          <w:b/>
          <w:sz w:val="24"/>
          <w:szCs w:val="24"/>
        </w:rPr>
        <w:t>/2021, do Executivo</w:t>
      </w:r>
      <w:r>
        <w:rPr>
          <w:rFonts w:ascii="Times New Roman" w:hAnsi="Times New Roman"/>
          <w:sz w:val="24"/>
          <w:szCs w:val="24"/>
        </w:rPr>
        <w:t>. Súmula: Dispõe sobre o Novo Código de Obras do Município de Ivaiporã estabelecendo normas para a elaboração de projetos e execução de obras e instalações, em seus aspectos técnicos, estruturais e funcionais, e dá outras providências.</w:t>
      </w:r>
    </w:p>
    <w:p w:rsidR="001222F0" w:rsidRDefault="001222F0" w:rsidP="001222F0">
      <w:pPr>
        <w:pStyle w:val="SemEspaa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2132D4">
        <w:rPr>
          <w:rFonts w:ascii="Times New Roman" w:hAnsi="Times New Roman"/>
          <w:b/>
          <w:sz w:val="24"/>
          <w:szCs w:val="24"/>
        </w:rPr>
        <w:t>10</w:t>
      </w:r>
      <w:r w:rsidRPr="00AE14F8">
        <w:rPr>
          <w:rFonts w:ascii="Times New Roman" w:hAnsi="Times New Roman"/>
          <w:b/>
          <w:sz w:val="24"/>
          <w:szCs w:val="24"/>
        </w:rPr>
        <w:t xml:space="preserve"> – Projeto de Lei Complementar nº </w:t>
      </w:r>
      <w:r>
        <w:rPr>
          <w:rFonts w:ascii="Times New Roman" w:hAnsi="Times New Roman"/>
          <w:b/>
          <w:sz w:val="24"/>
          <w:szCs w:val="24"/>
        </w:rPr>
        <w:t>15</w:t>
      </w:r>
      <w:r w:rsidRPr="00AE14F8">
        <w:rPr>
          <w:rFonts w:ascii="Times New Roman" w:hAnsi="Times New Roman"/>
          <w:b/>
          <w:sz w:val="24"/>
          <w:szCs w:val="24"/>
        </w:rPr>
        <w:t>/2021, do Executivo</w:t>
      </w:r>
      <w:r>
        <w:rPr>
          <w:rFonts w:ascii="Times New Roman" w:hAnsi="Times New Roman"/>
          <w:sz w:val="24"/>
          <w:szCs w:val="24"/>
        </w:rPr>
        <w:t xml:space="preserve">. Súmula: Institui o Código Ambiental do Município de Ivaiporã, Estado do Paraná, e estabelece outras providências. </w:t>
      </w:r>
    </w:p>
    <w:p w:rsidR="001222F0" w:rsidRPr="00061CEA" w:rsidRDefault="001222F0" w:rsidP="001222F0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61CEA">
        <w:rPr>
          <w:rFonts w:ascii="Times New Roman" w:hAnsi="Times New Roman"/>
          <w:b/>
          <w:sz w:val="24"/>
          <w:szCs w:val="24"/>
          <w:highlight w:val="yellow"/>
        </w:rPr>
        <w:t>AGUARDANDO</w:t>
      </w:r>
      <w:r w:rsidRPr="00061CEA">
        <w:rPr>
          <w:rFonts w:ascii="Times New Roman" w:hAnsi="Times New Roman"/>
          <w:b/>
          <w:sz w:val="24"/>
          <w:szCs w:val="24"/>
        </w:rPr>
        <w:t xml:space="preserve"> </w:t>
      </w:r>
    </w:p>
    <w:p w:rsidR="001222F0" w:rsidRPr="00061CEA" w:rsidRDefault="001222F0" w:rsidP="001222F0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061CEA">
        <w:rPr>
          <w:rFonts w:ascii="Times New Roman" w:hAnsi="Times New Roman"/>
          <w:b/>
          <w:sz w:val="24"/>
          <w:szCs w:val="24"/>
        </w:rPr>
        <w:t xml:space="preserve">01 </w:t>
      </w:r>
      <w:r w:rsidRPr="00061CEA">
        <w:rPr>
          <w:rFonts w:ascii="Times New Roman" w:hAnsi="Times New Roman"/>
          <w:b/>
          <w:bCs/>
          <w:sz w:val="24"/>
          <w:szCs w:val="24"/>
        </w:rPr>
        <w:t>-</w:t>
      </w:r>
      <w:r w:rsidRPr="00061CEA">
        <w:rPr>
          <w:rFonts w:ascii="Times New Roman" w:hAnsi="Times New Roman"/>
          <w:b/>
          <w:sz w:val="24"/>
          <w:szCs w:val="24"/>
        </w:rPr>
        <w:t xml:space="preserve"> Ofício nº 6/2022, do CEEBJA de Ivaiporã</w:t>
      </w:r>
      <w:r w:rsidRPr="00061CEA">
        <w:rPr>
          <w:rFonts w:ascii="Times New Roman" w:hAnsi="Times New Roman"/>
          <w:sz w:val="24"/>
          <w:szCs w:val="24"/>
        </w:rPr>
        <w:t xml:space="preserve">, referente a premiação a ser realizada por meio da Lei Municipal nº 3.572/2021, a qual instituiu a figura do “Estudante Exemplar” e “Professor Exemplar”, a serem homenageados e premiados; entretanto, o Diretor do CEEBJA informa que a referida escola é formada por pessoas que já foram excluídas das escolas por vários motivos ao longo da vida, e escolher apenas um aluno exemplar seria mais uma forma de exclusão para os demais, sendo que o CEEBJA, hoje, têm mais de 400 alunos e quase 80 professores, e todos são importantes. </w:t>
      </w:r>
    </w:p>
    <w:p w:rsidR="001222F0" w:rsidRDefault="001222F0" w:rsidP="001222F0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061CEA">
        <w:rPr>
          <w:rFonts w:ascii="Times New Roman" w:hAnsi="Times New Roman"/>
          <w:b/>
          <w:sz w:val="24"/>
          <w:szCs w:val="24"/>
        </w:rPr>
        <w:t>03 - Projeto de Resolução nº 3/2022. Autoria: Mesa Diretora.</w:t>
      </w:r>
      <w:r w:rsidRPr="00061CEA">
        <w:rPr>
          <w:rFonts w:ascii="Times New Roman" w:hAnsi="Times New Roman"/>
          <w:sz w:val="24"/>
          <w:szCs w:val="24"/>
        </w:rPr>
        <w:t xml:space="preserve"> Súmula: Dispõe sobre o procedimento administrativo para a realização de pesquisa de preços para a aquisição de bens e contratação de serviços em geral, no âmbito do Poder Legislativo de Ivaiporã, Estado do Paraná. (</w:t>
      </w:r>
      <w:r w:rsidRPr="00061CEA">
        <w:rPr>
          <w:rFonts w:ascii="Times New Roman" w:hAnsi="Times New Roman"/>
          <w:b/>
          <w:bCs/>
          <w:sz w:val="24"/>
          <w:szCs w:val="24"/>
        </w:rPr>
        <w:t xml:space="preserve">PARECER </w:t>
      </w:r>
      <w:r w:rsidRPr="00061CEA">
        <w:rPr>
          <w:rFonts w:ascii="Times New Roman" w:hAnsi="Times New Roman"/>
          <w:sz w:val="24"/>
          <w:szCs w:val="24"/>
        </w:rPr>
        <w:t>Jurídico da Câmara)</w:t>
      </w:r>
    </w:p>
    <w:p w:rsidR="00E90DBB" w:rsidRDefault="00E90DBB" w:rsidP="00E90DBB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sz w:val="24"/>
          <w:szCs w:val="24"/>
        </w:rPr>
      </w:pPr>
      <w:r>
        <w:rPr>
          <w:rFonts w:ascii="Times New Roman" w:eastAsia="Palatino Linotype" w:hAnsi="Times New Roman"/>
          <w:b/>
          <w:sz w:val="24"/>
          <w:szCs w:val="24"/>
        </w:rPr>
        <w:t>03</w:t>
      </w:r>
      <w:r w:rsidRPr="00061CEA">
        <w:rPr>
          <w:rFonts w:ascii="Times New Roman" w:hAnsi="Times New Roman"/>
          <w:b/>
          <w:sz w:val="24"/>
          <w:szCs w:val="24"/>
        </w:rPr>
        <w:t xml:space="preserve"> - Projeto de Lei nº </w:t>
      </w:r>
      <w:r>
        <w:rPr>
          <w:rFonts w:ascii="Times New Roman" w:hAnsi="Times New Roman"/>
          <w:b/>
          <w:sz w:val="24"/>
          <w:szCs w:val="24"/>
        </w:rPr>
        <w:t>07</w:t>
      </w:r>
      <w:r w:rsidRPr="00061CEA">
        <w:rPr>
          <w:rFonts w:ascii="Times New Roman" w:hAnsi="Times New Roman"/>
          <w:b/>
          <w:sz w:val="24"/>
          <w:szCs w:val="24"/>
        </w:rPr>
        <w:t xml:space="preserve">/2022, do </w:t>
      </w:r>
      <w:r>
        <w:rPr>
          <w:rFonts w:ascii="Times New Roman" w:hAnsi="Times New Roman"/>
          <w:b/>
          <w:sz w:val="24"/>
          <w:szCs w:val="24"/>
        </w:rPr>
        <w:t>Legisla</w:t>
      </w:r>
      <w:r w:rsidRPr="00061CEA">
        <w:rPr>
          <w:rFonts w:ascii="Times New Roman" w:hAnsi="Times New Roman"/>
          <w:b/>
          <w:sz w:val="24"/>
          <w:szCs w:val="24"/>
        </w:rPr>
        <w:t>tivo.</w:t>
      </w:r>
      <w:r w:rsidRPr="00061CEA">
        <w:rPr>
          <w:rFonts w:ascii="Times New Roman" w:hAnsi="Times New Roman"/>
          <w:sz w:val="24"/>
          <w:szCs w:val="24"/>
        </w:rPr>
        <w:t xml:space="preserve"> Súmula: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4EC">
        <w:rPr>
          <w:rFonts w:ascii="Times New Roman" w:eastAsia="Palatino Linotype" w:hAnsi="Times New Roman"/>
          <w:sz w:val="24"/>
          <w:szCs w:val="24"/>
        </w:rPr>
        <w:t>Fica vedada a vacinação compulsória e a cobrança de um passaporte vacinal contra a COVID-19 no âmbito do Município de Ivaiporã, Estado do Paraná, e dá outras providências.</w:t>
      </w:r>
    </w:p>
    <w:sectPr w:rsidR="00E90DBB" w:rsidSect="00F46832">
      <w:headerReference w:type="default" r:id="rId8"/>
      <w:pgSz w:w="11906" w:h="16838"/>
      <w:pgMar w:top="1440" w:right="1080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B81" w:rsidRDefault="00287B81" w:rsidP="005927EA">
      <w:pPr>
        <w:spacing w:after="0" w:line="240" w:lineRule="auto"/>
      </w:pPr>
      <w:r>
        <w:separator/>
      </w:r>
    </w:p>
  </w:endnote>
  <w:endnote w:type="continuationSeparator" w:id="0">
    <w:p w:rsidR="00287B81" w:rsidRDefault="00287B81" w:rsidP="0059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B81" w:rsidRDefault="00287B81" w:rsidP="005927EA">
      <w:pPr>
        <w:spacing w:after="0" w:line="240" w:lineRule="auto"/>
      </w:pPr>
      <w:r>
        <w:separator/>
      </w:r>
    </w:p>
  </w:footnote>
  <w:footnote w:type="continuationSeparator" w:id="0">
    <w:p w:rsidR="00287B81" w:rsidRDefault="00287B81" w:rsidP="00592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sz w:val="40"/>
        <w:szCs w:val="40"/>
      </w:rPr>
      <w:id w:val="1332413644"/>
      <w:docPartObj>
        <w:docPartGallery w:val="Page Numbers (Margins)"/>
        <w:docPartUnique/>
      </w:docPartObj>
    </w:sdtPr>
    <w:sdtEndPr/>
    <w:sdtContent>
      <w:p w:rsidR="005927EA" w:rsidRDefault="005927EA" w:rsidP="005927EA">
        <w:pPr>
          <w:pStyle w:val="Cabealho"/>
          <w:jc w:val="right"/>
          <w:rPr>
            <w:rFonts w:ascii="Times New Roman" w:hAnsi="Times New Roman" w:cs="Times New Roman"/>
            <w:b/>
            <w:sz w:val="40"/>
            <w:szCs w:val="40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60288" behindDoc="1" locked="0" layoutInCell="1" allowOverlap="1" wp14:anchorId="6BBBA6E9" wp14:editId="18FF3973">
              <wp:simplePos x="0" y="0"/>
              <wp:positionH relativeFrom="page">
                <wp:posOffset>866739</wp:posOffset>
              </wp:positionH>
              <wp:positionV relativeFrom="paragraph">
                <wp:posOffset>-53975</wp:posOffset>
              </wp:positionV>
              <wp:extent cx="1239520" cy="1009650"/>
              <wp:effectExtent l="0" t="0" r="0" b="0"/>
              <wp:wrapTight wrapText="bothSides">
                <wp:wrapPolygon edited="0">
                  <wp:start x="0" y="0"/>
                  <wp:lineTo x="0" y="21192"/>
                  <wp:lineTo x="21246" y="21192"/>
                  <wp:lineTo x="21246" y="0"/>
                  <wp:lineTo x="0" y="0"/>
                </wp:wrapPolygon>
              </wp:wrapTight>
              <wp:docPr id="2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9520" cy="10096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75904">
          <w:rPr>
            <w:rFonts w:ascii="Times New Roman" w:hAnsi="Times New Roman" w:cs="Times New Roman"/>
            <w:b/>
            <w:noProof/>
            <w:sz w:val="40"/>
            <w:szCs w:val="40"/>
            <w:lang w:eastAsia="pt-BR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124BAD8C" wp14:editId="7C4D933F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3" name="Agrupa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27EA" w:rsidRDefault="005927EA" w:rsidP="005927EA">
                                <w:pPr>
                                  <w:pStyle w:val="Cabealh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8A7EDC" w:rsidRPr="008A7EDC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7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24BAD8C" id="Agrupar 3" o:spid="_x0000_s1026" style="position:absolute;left:0;text-align:left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:rsidR="005927EA" w:rsidRDefault="005927EA" w:rsidP="005927EA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8A7EDC" w:rsidRPr="008A7EDC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  <w:p w:rsidR="005927EA" w:rsidRPr="00FD452F" w:rsidRDefault="005927EA" w:rsidP="005927EA">
    <w:pPr>
      <w:pStyle w:val="Cabealho"/>
      <w:jc w:val="right"/>
      <w:rPr>
        <w:rFonts w:eastAsia="Batang" w:cstheme="minorHAnsi"/>
        <w:b/>
        <w:sz w:val="40"/>
        <w:szCs w:val="40"/>
        <w:u w:val="thick"/>
      </w:rPr>
    </w:pPr>
    <w:r w:rsidRPr="00FD452F">
      <w:rPr>
        <w:rFonts w:eastAsia="Batang" w:cstheme="minorHAnsi"/>
        <w:b/>
        <w:sz w:val="40"/>
        <w:szCs w:val="40"/>
        <w:u w:val="thick"/>
      </w:rPr>
      <w:t>CÂMARA DE VEREADORES DE IVAIPORÃ</w:t>
    </w:r>
  </w:p>
  <w:p w:rsidR="005927EA" w:rsidRPr="003B4870" w:rsidRDefault="005927EA" w:rsidP="005927EA">
    <w:pPr>
      <w:ind w:left="3540" w:firstLine="708"/>
      <w:rPr>
        <w:rFonts w:cstheme="minorHAnsi"/>
      </w:rPr>
    </w:pPr>
    <w:r>
      <w:rPr>
        <w:rFonts w:cstheme="minorHAnsi"/>
      </w:rPr>
      <w:t xml:space="preserve">    </w:t>
    </w:r>
    <w:r w:rsidRPr="003B4870">
      <w:rPr>
        <w:rFonts w:cstheme="minorHAnsi"/>
      </w:rPr>
      <w:t>Estado do Paraná</w:t>
    </w:r>
  </w:p>
  <w:p w:rsidR="005927EA" w:rsidRDefault="005927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5F654F"/>
    <w:multiLevelType w:val="hybridMultilevel"/>
    <w:tmpl w:val="ADA03D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C5"/>
    <w:rsid w:val="00027422"/>
    <w:rsid w:val="00035107"/>
    <w:rsid w:val="000407E2"/>
    <w:rsid w:val="00042D06"/>
    <w:rsid w:val="000443FE"/>
    <w:rsid w:val="00047095"/>
    <w:rsid w:val="00055483"/>
    <w:rsid w:val="00061CEA"/>
    <w:rsid w:val="00081AAC"/>
    <w:rsid w:val="00082FEA"/>
    <w:rsid w:val="000916CD"/>
    <w:rsid w:val="00092BE0"/>
    <w:rsid w:val="000A3542"/>
    <w:rsid w:val="000A58C4"/>
    <w:rsid w:val="000B2B94"/>
    <w:rsid w:val="000B50C7"/>
    <w:rsid w:val="000C1EEA"/>
    <w:rsid w:val="000D1CD0"/>
    <w:rsid w:val="000E0779"/>
    <w:rsid w:val="000F63DA"/>
    <w:rsid w:val="000F68CE"/>
    <w:rsid w:val="001222F0"/>
    <w:rsid w:val="00134E36"/>
    <w:rsid w:val="00152767"/>
    <w:rsid w:val="00152979"/>
    <w:rsid w:val="00154211"/>
    <w:rsid w:val="001661AE"/>
    <w:rsid w:val="00166CB1"/>
    <w:rsid w:val="0017237D"/>
    <w:rsid w:val="00174FAF"/>
    <w:rsid w:val="00176A52"/>
    <w:rsid w:val="0019353B"/>
    <w:rsid w:val="001950D7"/>
    <w:rsid w:val="001C00A9"/>
    <w:rsid w:val="001C078C"/>
    <w:rsid w:val="001C718A"/>
    <w:rsid w:val="001F0C6D"/>
    <w:rsid w:val="001F1AC0"/>
    <w:rsid w:val="001F65D5"/>
    <w:rsid w:val="002132D4"/>
    <w:rsid w:val="002133D4"/>
    <w:rsid w:val="00214032"/>
    <w:rsid w:val="0025074F"/>
    <w:rsid w:val="0026271D"/>
    <w:rsid w:val="00287B81"/>
    <w:rsid w:val="00294A6E"/>
    <w:rsid w:val="002B4ED1"/>
    <w:rsid w:val="002D381E"/>
    <w:rsid w:val="002D5D49"/>
    <w:rsid w:val="002E44EC"/>
    <w:rsid w:val="0031490E"/>
    <w:rsid w:val="003275E2"/>
    <w:rsid w:val="00333993"/>
    <w:rsid w:val="00341727"/>
    <w:rsid w:val="003730CF"/>
    <w:rsid w:val="00375134"/>
    <w:rsid w:val="00387AFF"/>
    <w:rsid w:val="00387CF7"/>
    <w:rsid w:val="00396B69"/>
    <w:rsid w:val="003A3CF2"/>
    <w:rsid w:val="003C2BE9"/>
    <w:rsid w:val="003E6E9C"/>
    <w:rsid w:val="003F2785"/>
    <w:rsid w:val="004067BC"/>
    <w:rsid w:val="004177EC"/>
    <w:rsid w:val="00436CCC"/>
    <w:rsid w:val="00452627"/>
    <w:rsid w:val="00483B0D"/>
    <w:rsid w:val="004868EB"/>
    <w:rsid w:val="004D16B7"/>
    <w:rsid w:val="004D76E9"/>
    <w:rsid w:val="004E5B27"/>
    <w:rsid w:val="004F3627"/>
    <w:rsid w:val="004F5B50"/>
    <w:rsid w:val="00507FA9"/>
    <w:rsid w:val="00521AB8"/>
    <w:rsid w:val="00523717"/>
    <w:rsid w:val="005304EA"/>
    <w:rsid w:val="005444B6"/>
    <w:rsid w:val="00544F89"/>
    <w:rsid w:val="00560C2F"/>
    <w:rsid w:val="005927EA"/>
    <w:rsid w:val="005A19F2"/>
    <w:rsid w:val="005B0A6D"/>
    <w:rsid w:val="005D3FB9"/>
    <w:rsid w:val="005E105D"/>
    <w:rsid w:val="005F5CB9"/>
    <w:rsid w:val="005F68C5"/>
    <w:rsid w:val="005F7165"/>
    <w:rsid w:val="00602B53"/>
    <w:rsid w:val="00606077"/>
    <w:rsid w:val="00610C9C"/>
    <w:rsid w:val="00616568"/>
    <w:rsid w:val="00634E47"/>
    <w:rsid w:val="00640179"/>
    <w:rsid w:val="00640D4B"/>
    <w:rsid w:val="00666167"/>
    <w:rsid w:val="006661D6"/>
    <w:rsid w:val="00685EAF"/>
    <w:rsid w:val="006B37A2"/>
    <w:rsid w:val="006C0490"/>
    <w:rsid w:val="006C0F8C"/>
    <w:rsid w:val="006C2365"/>
    <w:rsid w:val="006E32B1"/>
    <w:rsid w:val="006F3FF7"/>
    <w:rsid w:val="00705F0E"/>
    <w:rsid w:val="00711B78"/>
    <w:rsid w:val="0071207F"/>
    <w:rsid w:val="007543B0"/>
    <w:rsid w:val="00754ECF"/>
    <w:rsid w:val="00763C66"/>
    <w:rsid w:val="00772DFE"/>
    <w:rsid w:val="00773A73"/>
    <w:rsid w:val="007926FE"/>
    <w:rsid w:val="007946A3"/>
    <w:rsid w:val="007A4E75"/>
    <w:rsid w:val="007A6EBA"/>
    <w:rsid w:val="007C20E4"/>
    <w:rsid w:val="007F017D"/>
    <w:rsid w:val="007F2128"/>
    <w:rsid w:val="007F2B27"/>
    <w:rsid w:val="007F4B3C"/>
    <w:rsid w:val="007F61BB"/>
    <w:rsid w:val="007F71E0"/>
    <w:rsid w:val="007F7698"/>
    <w:rsid w:val="008014CF"/>
    <w:rsid w:val="00805D0E"/>
    <w:rsid w:val="008141BF"/>
    <w:rsid w:val="00814372"/>
    <w:rsid w:val="00835647"/>
    <w:rsid w:val="008541C5"/>
    <w:rsid w:val="00864431"/>
    <w:rsid w:val="00882D5B"/>
    <w:rsid w:val="008916BC"/>
    <w:rsid w:val="008A7EDC"/>
    <w:rsid w:val="008B7DAE"/>
    <w:rsid w:val="008D094A"/>
    <w:rsid w:val="008D298F"/>
    <w:rsid w:val="008F6D1B"/>
    <w:rsid w:val="00905722"/>
    <w:rsid w:val="00913A7A"/>
    <w:rsid w:val="00916CDF"/>
    <w:rsid w:val="00922927"/>
    <w:rsid w:val="0092526A"/>
    <w:rsid w:val="00926641"/>
    <w:rsid w:val="00926CAA"/>
    <w:rsid w:val="00930AF4"/>
    <w:rsid w:val="0094015D"/>
    <w:rsid w:val="00940DDF"/>
    <w:rsid w:val="00955880"/>
    <w:rsid w:val="009573C7"/>
    <w:rsid w:val="00967898"/>
    <w:rsid w:val="0097281F"/>
    <w:rsid w:val="00974857"/>
    <w:rsid w:val="009762BE"/>
    <w:rsid w:val="009821AD"/>
    <w:rsid w:val="00987F59"/>
    <w:rsid w:val="00996E4A"/>
    <w:rsid w:val="009A3D23"/>
    <w:rsid w:val="009B4480"/>
    <w:rsid w:val="009B5C3A"/>
    <w:rsid w:val="009E2CEC"/>
    <w:rsid w:val="009F2143"/>
    <w:rsid w:val="00A04BE7"/>
    <w:rsid w:val="00A13195"/>
    <w:rsid w:val="00A408F2"/>
    <w:rsid w:val="00A54438"/>
    <w:rsid w:val="00A55028"/>
    <w:rsid w:val="00A60565"/>
    <w:rsid w:val="00A66464"/>
    <w:rsid w:val="00A775DF"/>
    <w:rsid w:val="00A86CC8"/>
    <w:rsid w:val="00AB46D2"/>
    <w:rsid w:val="00AC06BB"/>
    <w:rsid w:val="00AC11BD"/>
    <w:rsid w:val="00AC276C"/>
    <w:rsid w:val="00AD2047"/>
    <w:rsid w:val="00AE6AAD"/>
    <w:rsid w:val="00AF2546"/>
    <w:rsid w:val="00B167EB"/>
    <w:rsid w:val="00B17594"/>
    <w:rsid w:val="00B353E8"/>
    <w:rsid w:val="00B43F63"/>
    <w:rsid w:val="00B44086"/>
    <w:rsid w:val="00B46E15"/>
    <w:rsid w:val="00B56380"/>
    <w:rsid w:val="00B64173"/>
    <w:rsid w:val="00B70CAA"/>
    <w:rsid w:val="00B76720"/>
    <w:rsid w:val="00B81FFC"/>
    <w:rsid w:val="00B835A7"/>
    <w:rsid w:val="00B85905"/>
    <w:rsid w:val="00B96BE2"/>
    <w:rsid w:val="00BC3345"/>
    <w:rsid w:val="00BF2BC1"/>
    <w:rsid w:val="00C05B99"/>
    <w:rsid w:val="00C20D81"/>
    <w:rsid w:val="00C553D7"/>
    <w:rsid w:val="00C767ED"/>
    <w:rsid w:val="00C8176D"/>
    <w:rsid w:val="00C85B4A"/>
    <w:rsid w:val="00C86746"/>
    <w:rsid w:val="00C96BAD"/>
    <w:rsid w:val="00CC3398"/>
    <w:rsid w:val="00CD1AFF"/>
    <w:rsid w:val="00CD61EF"/>
    <w:rsid w:val="00CE2E90"/>
    <w:rsid w:val="00D02690"/>
    <w:rsid w:val="00D15B72"/>
    <w:rsid w:val="00D17D5E"/>
    <w:rsid w:val="00D229C0"/>
    <w:rsid w:val="00D33154"/>
    <w:rsid w:val="00D349A3"/>
    <w:rsid w:val="00D36EAC"/>
    <w:rsid w:val="00D427FD"/>
    <w:rsid w:val="00D56B4B"/>
    <w:rsid w:val="00D774CD"/>
    <w:rsid w:val="00D87213"/>
    <w:rsid w:val="00D940AE"/>
    <w:rsid w:val="00D9727C"/>
    <w:rsid w:val="00DA03AE"/>
    <w:rsid w:val="00DA0ECB"/>
    <w:rsid w:val="00DA3BE8"/>
    <w:rsid w:val="00DA537E"/>
    <w:rsid w:val="00DD2D51"/>
    <w:rsid w:val="00DD3652"/>
    <w:rsid w:val="00DD392C"/>
    <w:rsid w:val="00DF0772"/>
    <w:rsid w:val="00E00937"/>
    <w:rsid w:val="00E02197"/>
    <w:rsid w:val="00E04305"/>
    <w:rsid w:val="00E134CE"/>
    <w:rsid w:val="00E219F8"/>
    <w:rsid w:val="00E3154A"/>
    <w:rsid w:val="00E66AF9"/>
    <w:rsid w:val="00E90DBB"/>
    <w:rsid w:val="00EB543B"/>
    <w:rsid w:val="00EB552D"/>
    <w:rsid w:val="00EF3128"/>
    <w:rsid w:val="00F205E1"/>
    <w:rsid w:val="00F41556"/>
    <w:rsid w:val="00F41889"/>
    <w:rsid w:val="00F43B62"/>
    <w:rsid w:val="00F46832"/>
    <w:rsid w:val="00F4728A"/>
    <w:rsid w:val="00F62AC1"/>
    <w:rsid w:val="00F63736"/>
    <w:rsid w:val="00F6402D"/>
    <w:rsid w:val="00F70544"/>
    <w:rsid w:val="00F72966"/>
    <w:rsid w:val="00F82BF0"/>
    <w:rsid w:val="00F9063F"/>
    <w:rsid w:val="00F97E8F"/>
    <w:rsid w:val="00FA3EF8"/>
    <w:rsid w:val="00FA7A70"/>
    <w:rsid w:val="00FD2A8D"/>
    <w:rsid w:val="00FF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44B92"/>
  <w15:chartTrackingRefBased/>
  <w15:docId w15:val="{D32F6168-163A-49E0-9C37-19294455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7EA"/>
    <w:pPr>
      <w:spacing w:line="25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927EA"/>
  </w:style>
  <w:style w:type="paragraph" w:styleId="Rodap">
    <w:name w:val="footer"/>
    <w:basedOn w:val="Normal"/>
    <w:link w:val="Rodap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27EA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ontepargpadro"/>
    <w:uiPriority w:val="99"/>
    <w:unhideWhenUsed/>
    <w:rsid w:val="005927EA"/>
  </w:style>
  <w:style w:type="paragraph" w:styleId="SemEspaamento">
    <w:name w:val="No Spacing"/>
    <w:uiPriority w:val="1"/>
    <w:qFormat/>
    <w:rsid w:val="00DD3652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4C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7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80F77-8EA3-4EE6-B844-0F27AA272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945</Words>
  <Characters>5109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4</cp:revision>
  <cp:lastPrinted>2022-03-14T19:44:00Z</cp:lastPrinted>
  <dcterms:created xsi:type="dcterms:W3CDTF">2022-03-21T11:50:00Z</dcterms:created>
  <dcterms:modified xsi:type="dcterms:W3CDTF">2022-03-21T12:13:00Z</dcterms:modified>
</cp:coreProperties>
</file>