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4A" w:rsidRDefault="00C85B4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D33154">
        <w:rPr>
          <w:rFonts w:ascii="Times New Roman" w:hAnsi="Times New Roman" w:cs="Times New Roman"/>
          <w:bCs/>
          <w:sz w:val="24"/>
          <w:szCs w:val="24"/>
        </w:rPr>
        <w:t>2</w:t>
      </w:r>
      <w:r w:rsidR="000F68CE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F68CE">
        <w:rPr>
          <w:rFonts w:ascii="Times New Roman" w:hAnsi="Times New Roman" w:cs="Times New Roman"/>
          <w:bCs/>
          <w:sz w:val="24"/>
          <w:szCs w:val="24"/>
        </w:rPr>
        <w:t>27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D33154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C85B4A" w:rsidRDefault="00C85B4A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EF3128" w:rsidRDefault="00C96BAD" w:rsidP="00C96BAD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44911">
        <w:rPr>
          <w:rFonts w:ascii="Times New Roman" w:hAnsi="Times New Roman"/>
          <w:b/>
          <w:sz w:val="24"/>
          <w:szCs w:val="24"/>
        </w:rPr>
        <w:t xml:space="preserve"> -  </w:t>
      </w:r>
      <w:r w:rsidRPr="00F4728A">
        <w:rPr>
          <w:rFonts w:ascii="Times New Roman" w:eastAsia="Palatino Linotype" w:hAnsi="Times New Roman"/>
          <w:b/>
          <w:sz w:val="24"/>
          <w:szCs w:val="24"/>
        </w:rPr>
        <w:t xml:space="preserve">Projeto de Lei nº 56/2021 do Executivo: </w:t>
      </w:r>
      <w:r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</w:t>
      </w:r>
      <w:r w:rsidR="00EF3128">
        <w:rPr>
          <w:rFonts w:ascii="Times New Roman" w:eastAsia="Palatino Linotype" w:hAnsi="Times New Roman"/>
          <w:sz w:val="24"/>
          <w:szCs w:val="24"/>
        </w:rPr>
        <w:t>.</w:t>
      </w:r>
      <w:bookmarkStart w:id="0" w:name="_GoBack"/>
      <w:bookmarkEnd w:id="0"/>
    </w:p>
    <w:p w:rsidR="000A3542" w:rsidRDefault="00C96BAD" w:rsidP="00C96BAD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="000A3542"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="000A3542"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F41556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A3542" w:rsidRPr="00F44911">
        <w:rPr>
          <w:rFonts w:ascii="Times New Roman" w:hAnsi="Times New Roman"/>
          <w:b/>
          <w:sz w:val="24"/>
          <w:szCs w:val="24"/>
        </w:rPr>
        <w:t xml:space="preserve"> -  Projeto de Lei nº </w:t>
      </w:r>
      <w:r w:rsidR="000A3542">
        <w:rPr>
          <w:rFonts w:ascii="Times New Roman" w:hAnsi="Times New Roman"/>
          <w:b/>
          <w:sz w:val="24"/>
          <w:szCs w:val="24"/>
        </w:rPr>
        <w:t>70</w:t>
      </w:r>
      <w:r w:rsidR="000A3542" w:rsidRPr="00F44911">
        <w:rPr>
          <w:rFonts w:ascii="Times New Roman" w:hAnsi="Times New Roman"/>
          <w:b/>
          <w:sz w:val="24"/>
          <w:szCs w:val="24"/>
        </w:rPr>
        <w:t xml:space="preserve">/2021 do Poder </w:t>
      </w:r>
      <w:r w:rsidR="000A3542">
        <w:rPr>
          <w:rFonts w:ascii="Times New Roman" w:hAnsi="Times New Roman"/>
          <w:b/>
          <w:sz w:val="24"/>
          <w:szCs w:val="24"/>
        </w:rPr>
        <w:t>Executivo</w:t>
      </w:r>
      <w:r w:rsidR="000A3542" w:rsidRPr="00F44911">
        <w:rPr>
          <w:rFonts w:ascii="Times New Roman" w:hAnsi="Times New Roman"/>
          <w:b/>
          <w:sz w:val="24"/>
          <w:szCs w:val="24"/>
        </w:rPr>
        <w:t xml:space="preserve">. Súmula: </w:t>
      </w:r>
      <w:r w:rsidR="000A3542">
        <w:rPr>
          <w:rFonts w:ascii="Times New Roman" w:hAnsi="Times New Roman"/>
          <w:sz w:val="24"/>
          <w:szCs w:val="24"/>
        </w:rPr>
        <w:t xml:space="preserve">Autoriza o Município de Ivaiporã/PR a ceder, mediante Cessão de Uso o veículo público </w:t>
      </w:r>
      <w:proofErr w:type="spellStart"/>
      <w:r w:rsidR="000A3542">
        <w:rPr>
          <w:rFonts w:ascii="Times New Roman" w:hAnsi="Times New Roman"/>
          <w:sz w:val="24"/>
          <w:szCs w:val="24"/>
        </w:rPr>
        <w:t>semi-reboque</w:t>
      </w:r>
      <w:proofErr w:type="spellEnd"/>
      <w:r w:rsidR="000A3542">
        <w:rPr>
          <w:rFonts w:ascii="Times New Roman" w:hAnsi="Times New Roman"/>
          <w:sz w:val="24"/>
          <w:szCs w:val="24"/>
        </w:rPr>
        <w:t xml:space="preserve"> que especifica à ASSOCIAÇÃO DOS MUNICÍPIOS DO VALE DO IVAÍ – AMUVI, e dá outras providências. 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A3542" w:rsidRDefault="00F41556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</w:t>
      </w:r>
      <w:r w:rsidR="000A3542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0A3542">
        <w:rPr>
          <w:rFonts w:ascii="Times New Roman" w:hAnsi="Times New Roman"/>
          <w:b/>
          <w:sz w:val="24"/>
          <w:szCs w:val="24"/>
        </w:rPr>
        <w:t xml:space="preserve">rojeto de Lei nº 72/2021 do Executivo: </w:t>
      </w:r>
      <w:r w:rsidR="000A3542"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R$400.000,00 (Quatrocentos mil reais). Os recursos são oriundos de incremento temporário ao custeio dos serviços de Atenção Primária a Saúde, que serão aplicados conforme as necessidades de atendimento da população.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A3542" w:rsidRDefault="000A3542" w:rsidP="000A354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F5B50" w:rsidRPr="004F5B50" w:rsidRDefault="00F41556" w:rsidP="004F5B50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="004F5B50" w:rsidRPr="004F5B50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4F5B50" w:rsidRPr="004F5B50">
        <w:rPr>
          <w:rFonts w:ascii="Times New Roman" w:hAnsi="Times New Roman"/>
          <w:b/>
          <w:sz w:val="24"/>
          <w:szCs w:val="24"/>
        </w:rPr>
        <w:t xml:space="preserve">rojeto de Lei nº 73/2021 do Executivo: </w:t>
      </w:r>
      <w:r w:rsidR="004F5B50" w:rsidRPr="004F5B50">
        <w:rPr>
          <w:rFonts w:ascii="Times New Roman" w:hAnsi="Times New Roman"/>
          <w:bCs/>
          <w:sz w:val="24"/>
          <w:szCs w:val="24"/>
        </w:rPr>
        <w:t xml:space="preserve">Súmula: Autoriza o Executivo Municipal a realizar desapropriação amigável ou judicial, do imóvel que especifica e dá outras providências. Referida desapropriação do imóvel mencionado, se justifica pela necessidade em proceder à complementação de área para ampliação das instalações do Paço Municipal, de forma a suprir as necessidades </w:t>
      </w:r>
      <w:proofErr w:type="gramStart"/>
      <w:r w:rsidR="004F5B50" w:rsidRPr="004F5B50">
        <w:rPr>
          <w:rFonts w:ascii="Times New Roman" w:hAnsi="Times New Roman"/>
          <w:bCs/>
          <w:sz w:val="24"/>
          <w:szCs w:val="24"/>
        </w:rPr>
        <w:t>da</w:t>
      </w:r>
      <w:proofErr w:type="gramEnd"/>
      <w:r w:rsidR="004F5B50" w:rsidRPr="004F5B50">
        <w:rPr>
          <w:rFonts w:ascii="Times New Roman" w:hAnsi="Times New Roman"/>
          <w:bCs/>
          <w:sz w:val="24"/>
          <w:szCs w:val="24"/>
        </w:rPr>
        <w:t xml:space="preserve"> Administração para melhor realocar as unidades administrativas da Municipalidade. </w:t>
      </w:r>
    </w:p>
    <w:p w:rsidR="004F5B50" w:rsidRDefault="004F5B50" w:rsidP="004F5B50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F5B50" w:rsidRPr="004F5B50" w:rsidRDefault="004F5B50" w:rsidP="004F5B50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41556" w:rsidRDefault="00F41556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41556" w:rsidRDefault="00F41556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41556" w:rsidRDefault="00F41556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41556" w:rsidRDefault="00F41556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F41556" w:rsidRDefault="00F41556" w:rsidP="000A3542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A3542" w:rsidRPr="006B37A2" w:rsidRDefault="00F41556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</w:t>
      </w:r>
      <w:r w:rsidR="000A3542" w:rsidRPr="006B37A2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0A3542" w:rsidRPr="006B37A2">
        <w:rPr>
          <w:rFonts w:ascii="Times New Roman" w:hAnsi="Times New Roman"/>
          <w:b/>
          <w:sz w:val="24"/>
          <w:szCs w:val="24"/>
        </w:rPr>
        <w:t xml:space="preserve">rojeto de Lei Complementar nº 03/2021 do Executivo: </w:t>
      </w:r>
      <w:r w:rsidR="000A3542" w:rsidRPr="006B37A2">
        <w:rPr>
          <w:rFonts w:ascii="Times New Roman" w:hAnsi="Times New Roman"/>
          <w:bCs/>
          <w:sz w:val="24"/>
          <w:szCs w:val="24"/>
        </w:rPr>
        <w:t>Súmula: Autoriza o Executivo Municipal a parcelar o pagamento do Imposto sobre a Transmissão de Bens Imóveis – ITBI no Município de Ivaiporã/PR, e dá outras providências. O parcelamento do ITBI, para os contribuintes que não tem condições de efetuar o pagamento à vista. Tal proposta trará benefícios mútuos uma vez que, o município aumentará suas receitas e os contribuintes poderão, enfim, regularizar suas transações imobiliárias, efetivando o registro do imóvel.</w:t>
      </w:r>
    </w:p>
    <w:p w:rsidR="000A3542" w:rsidRPr="006B37A2" w:rsidRDefault="000A3542" w:rsidP="000A354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6B37A2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6B37A2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A3542" w:rsidRPr="006B37A2" w:rsidRDefault="000A3542" w:rsidP="000A354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6B37A2">
        <w:rPr>
          <w:rFonts w:ascii="Times New Roman" w:eastAsia="Palatino Linotype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:rsidR="00D229C0" w:rsidRPr="00B56380" w:rsidRDefault="00D229C0" w:rsidP="000A3542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</w:p>
    <w:p w:rsidR="008541C5" w:rsidRPr="00651122" w:rsidRDefault="008541C5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651122">
        <w:rPr>
          <w:rFonts w:ascii="Times New Roman" w:hAnsi="Times New Roman"/>
          <w:b/>
          <w:sz w:val="24"/>
          <w:szCs w:val="24"/>
        </w:rPr>
        <w:t>Projeto de Lei nº 6</w:t>
      </w:r>
      <w:r>
        <w:rPr>
          <w:rFonts w:ascii="Times New Roman" w:hAnsi="Times New Roman"/>
          <w:b/>
          <w:sz w:val="24"/>
          <w:szCs w:val="24"/>
        </w:rPr>
        <w:t>6</w:t>
      </w:r>
      <w:r w:rsidRPr="00651122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>
        <w:rPr>
          <w:rFonts w:ascii="Times New Roman" w:hAnsi="Times New Roman"/>
          <w:sz w:val="24"/>
          <w:szCs w:val="24"/>
        </w:rPr>
        <w:t>Dispõe sobre as Diretrizes para a elaboração da Lei Orçamentária do Município de Ivaiporã</w:t>
      </w:r>
      <w:r w:rsidRPr="006511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Estado do Paraná, para o exercício financeiro de 2022</w:t>
      </w:r>
      <w:r w:rsidRPr="00651122">
        <w:rPr>
          <w:rFonts w:ascii="Times New Roman" w:hAnsi="Times New Roman"/>
          <w:sz w:val="24"/>
          <w:szCs w:val="24"/>
        </w:rPr>
        <w:t xml:space="preserve"> e dá outras providências. </w:t>
      </w:r>
    </w:p>
    <w:p w:rsidR="00A408F2" w:rsidRPr="00CF7C87" w:rsidRDefault="008541C5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r w:rsidR="00A408F2">
        <w:rPr>
          <w:rFonts w:ascii="Times New Roman" w:eastAsia="Palatino Linotype" w:hAnsi="Times New Roman"/>
          <w:sz w:val="24"/>
          <w:szCs w:val="24"/>
        </w:rPr>
        <w:t>(AGUARDANDO APROVAÇÃO DO PPA)</w:t>
      </w:r>
    </w:p>
    <w:p w:rsidR="007C20E4" w:rsidRDefault="007C20E4" w:rsidP="00A408F2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Palatino Linotype" w:hAnsi="Times New Roman"/>
          <w:sz w:val="24"/>
          <w:szCs w:val="24"/>
        </w:rPr>
      </w:pPr>
      <w:r w:rsidRPr="00F4728A">
        <w:rPr>
          <w:rFonts w:ascii="Times New Roman" w:eastAsia="Palatino Linotype" w:hAnsi="Times New Roman"/>
          <w:b/>
          <w:sz w:val="24"/>
          <w:szCs w:val="24"/>
        </w:rPr>
        <w:t xml:space="preserve">Projeto de Lei nº 56/2021 do Executivo: </w:t>
      </w:r>
      <w:r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  <w:r w:rsidR="005444B6">
        <w:rPr>
          <w:rFonts w:ascii="Times New Roman" w:eastAsia="Palatino Linotype" w:hAnsi="Times New Roman"/>
          <w:sz w:val="24"/>
          <w:szCs w:val="24"/>
        </w:rPr>
        <w:t xml:space="preserve"> (AGUARDANDO APROVAÇÃO DA EMENDA Nº 01/2021 DA LOM)</w:t>
      </w:r>
    </w:p>
    <w:p w:rsidR="00D33154" w:rsidRPr="00CF7C87" w:rsidRDefault="00D33154" w:rsidP="00D33154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</w:p>
    <w:sectPr w:rsidR="00D33154" w:rsidRPr="00CF7C87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431" w:rsidRDefault="00864431" w:rsidP="005927EA">
      <w:pPr>
        <w:spacing w:after="0" w:line="240" w:lineRule="auto"/>
      </w:pPr>
      <w:r>
        <w:separator/>
      </w:r>
    </w:p>
  </w:endnote>
  <w:endnote w:type="continuationSeparator" w:id="0">
    <w:p w:rsidR="00864431" w:rsidRDefault="0086443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431" w:rsidRDefault="00864431" w:rsidP="005927EA">
      <w:pPr>
        <w:spacing w:after="0" w:line="240" w:lineRule="auto"/>
      </w:pPr>
      <w:r>
        <w:separator/>
      </w:r>
    </w:p>
  </w:footnote>
  <w:footnote w:type="continuationSeparator" w:id="0">
    <w:p w:rsidR="00864431" w:rsidRDefault="0086443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F3128" w:rsidRPr="00EF312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F3128" w:rsidRPr="00EF312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5134"/>
    <w:rsid w:val="00387AFF"/>
    <w:rsid w:val="00396B69"/>
    <w:rsid w:val="003A3CF2"/>
    <w:rsid w:val="003F2785"/>
    <w:rsid w:val="004177EC"/>
    <w:rsid w:val="00452627"/>
    <w:rsid w:val="004D76E9"/>
    <w:rsid w:val="004F3627"/>
    <w:rsid w:val="004F5B50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64431"/>
    <w:rsid w:val="008916BC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A3D23"/>
    <w:rsid w:val="009B4480"/>
    <w:rsid w:val="009B5C3A"/>
    <w:rsid w:val="00A04BE7"/>
    <w:rsid w:val="00A13195"/>
    <w:rsid w:val="00A408F2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EF3128"/>
    <w:rsid w:val="00F205E1"/>
    <w:rsid w:val="00F41556"/>
    <w:rsid w:val="00F41889"/>
    <w:rsid w:val="00F43B62"/>
    <w:rsid w:val="00F4728A"/>
    <w:rsid w:val="00F62AC1"/>
    <w:rsid w:val="00F63736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0C6F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B85BD-392E-4FA6-9256-30196560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7</cp:revision>
  <cp:lastPrinted>2021-09-13T12:58:00Z</cp:lastPrinted>
  <dcterms:created xsi:type="dcterms:W3CDTF">2021-09-20T16:39:00Z</dcterms:created>
  <dcterms:modified xsi:type="dcterms:W3CDTF">2021-09-27T12:32:00Z</dcterms:modified>
</cp:coreProperties>
</file>