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B" w:rsidRDefault="008F6D1B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8F6D1B">
        <w:rPr>
          <w:rFonts w:ascii="Times New Roman" w:hAnsi="Times New Roman" w:cs="Times New Roman"/>
          <w:bCs/>
          <w:sz w:val="24"/>
          <w:szCs w:val="24"/>
        </w:rPr>
        <w:t>6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F6D1B">
        <w:rPr>
          <w:rFonts w:ascii="Times New Roman" w:hAnsi="Times New Roman" w:cs="Times New Roman"/>
          <w:bCs/>
          <w:sz w:val="24"/>
          <w:szCs w:val="24"/>
        </w:rPr>
        <w:t>23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</w:t>
      </w:r>
      <w:r w:rsidR="00F72966">
        <w:rPr>
          <w:rFonts w:ascii="Times New Roman" w:hAnsi="Times New Roman" w:cs="Times New Roman"/>
          <w:bCs/>
          <w:sz w:val="24"/>
          <w:szCs w:val="24"/>
        </w:rPr>
        <w:t>1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BE2" w:rsidRDefault="00B96BE2" w:rsidP="00B96BE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1 -  Ofício nº 902-2021/PMI/GAB –Mensagem Aditiva ao PLC nº 04/2021 </w:t>
      </w:r>
      <w:r>
        <w:rPr>
          <w:rFonts w:ascii="Times New Roman" w:hAnsi="Times New Roman"/>
          <w:b/>
          <w:sz w:val="24"/>
          <w:szCs w:val="24"/>
        </w:rPr>
        <w:t xml:space="preserve">do Poder Executivo. Súmula: </w:t>
      </w:r>
      <w:r>
        <w:rPr>
          <w:rFonts w:ascii="Times New Roman" w:hAnsi="Times New Roman"/>
          <w:bCs/>
          <w:sz w:val="24"/>
          <w:szCs w:val="24"/>
        </w:rPr>
        <w:t xml:space="preserve">Dispõe sobre as infrações administrativas derivadas de condutas e atividades lesivas ao enfrentamento da emergência de saúde pública de importância internacional decorrente do novo </w:t>
      </w:r>
      <w:proofErr w:type="spellStart"/>
      <w:r>
        <w:rPr>
          <w:rFonts w:ascii="Times New Roman" w:hAnsi="Times New Roman"/>
          <w:bCs/>
          <w:sz w:val="24"/>
          <w:szCs w:val="24"/>
        </w:rPr>
        <w:t>Coronavírus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COVID -19 e dá outras providências. 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- Projeto de Lei nº 95/2021 do Poder Executivo. Súmula: </w:t>
      </w:r>
      <w:r>
        <w:rPr>
          <w:rFonts w:ascii="Times New Roman" w:hAnsi="Times New Roman"/>
          <w:bCs/>
          <w:sz w:val="24"/>
          <w:szCs w:val="24"/>
        </w:rPr>
        <w:t>Introduz alterações na Lei Municipal 2.872, de 13 de outubro de 2016, a qual dispõe sobre a Estrutura Administrativa da Prefeitura do Município de Ivaiporã/PR. Com a ampliação e criação dos referidos cargos se formará uma equipe forte, capaz de somar com a Administração Municipal para a efetiva prestação dos serviços públicos a população, tornando o Cemitério Municipal e os Cemitérios dos Distritos de Jacutinga e Alto Porã, locais limpos, organizados e de respeito aos entes queridos que lá estão sepultados.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3 - P</w:t>
      </w:r>
      <w:r>
        <w:rPr>
          <w:rFonts w:ascii="Times New Roman" w:hAnsi="Times New Roman"/>
          <w:b/>
          <w:sz w:val="24"/>
          <w:szCs w:val="24"/>
        </w:rPr>
        <w:t xml:space="preserve">rojeto de Lei nº 96/2021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R$320.000,00 (Trezentos e vinte mil reais). Os recursos são oriundos de incremento temporário ao custeio dos serviços de Atenção Especializada à Saúde, que será aplicado conforme as necessidades de atendimento da população.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4 - P</w:t>
      </w:r>
      <w:r>
        <w:rPr>
          <w:rFonts w:ascii="Times New Roman" w:hAnsi="Times New Roman"/>
          <w:b/>
          <w:sz w:val="24"/>
          <w:szCs w:val="24"/>
        </w:rPr>
        <w:t xml:space="preserve">rojeto de Lei nº 97/2021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R$249.970,00 (Duzentos e quarenta e nove mil, novecentos e setenta reais). Os recursos são destinados a aquisição de equipamentos e materiais permanentes para estabelecimento de saúde, conforme estipula a Portaria 2.530 de 1º de outubro de 2021.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5 - P</w:t>
      </w:r>
      <w:r>
        <w:rPr>
          <w:rFonts w:ascii="Times New Roman" w:hAnsi="Times New Roman"/>
          <w:b/>
          <w:sz w:val="24"/>
          <w:szCs w:val="24"/>
        </w:rPr>
        <w:t xml:space="preserve">rojeto de Lei nº 98/2021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R$24.000,00 (vinte e quatro mil reais). Refere-se a aluguel das dependências da sede do SAMU no município, que precisou ser relocado, devido ao fato de a UPA iniciar suas atividades em breve.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6 - P</w:t>
      </w:r>
      <w:r>
        <w:rPr>
          <w:rFonts w:ascii="Times New Roman" w:hAnsi="Times New Roman"/>
          <w:b/>
          <w:sz w:val="24"/>
          <w:szCs w:val="24"/>
        </w:rPr>
        <w:t xml:space="preserve">rojeto de Lei nº 99/2021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R$5.325,26 (Cinco mil trezentos e vinte e cinco reais e vinte e seis centavos). Devolução do saldo remanescente da resolução nº 01/2018 – SESA, o objeto principal já foi executado.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7 - P</w:t>
      </w:r>
      <w:r>
        <w:rPr>
          <w:rFonts w:ascii="Times New Roman" w:hAnsi="Times New Roman"/>
          <w:b/>
          <w:sz w:val="24"/>
          <w:szCs w:val="24"/>
        </w:rPr>
        <w:t xml:space="preserve">rojeto de Lei nº 100/2021 do Executivo: </w:t>
      </w:r>
      <w:r>
        <w:rPr>
          <w:rFonts w:ascii="Times New Roman" w:hAnsi="Times New Roman"/>
          <w:bCs/>
          <w:sz w:val="24"/>
          <w:szCs w:val="24"/>
        </w:rPr>
        <w:t>Súmula: Autoriza o Executivo Municipal a realizar desapropriação amigável ou judicial, do imóvel que especifica e dá outras providências. Será destinado para construção de uma Praça, conforme solicitação da Associação de Moradores dos Bairros Aeroporto e Versalhes, visando a integração da comunidade, a ampliação dos ambientes sociais comunitários e o desenvolvimento municipal dos bairros.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8 - P</w:t>
      </w:r>
      <w:r>
        <w:rPr>
          <w:rFonts w:ascii="Times New Roman" w:hAnsi="Times New Roman"/>
          <w:b/>
          <w:sz w:val="24"/>
          <w:szCs w:val="24"/>
        </w:rPr>
        <w:t xml:space="preserve">rojeto de Lei nº101/2021 do Executivo: </w:t>
      </w:r>
      <w:r>
        <w:rPr>
          <w:rFonts w:ascii="Times New Roman" w:hAnsi="Times New Roman"/>
          <w:bCs/>
          <w:sz w:val="24"/>
          <w:szCs w:val="24"/>
        </w:rPr>
        <w:t xml:space="preserve">Súmula: Abre um Crédito Adicional Especial e dá outras providências. Valor R$3.542,71 (Três mil, quinhentos e quarenta e dois reais e setenta e um centavos). Trata-se de recursos de </w:t>
      </w:r>
      <w:proofErr w:type="spellStart"/>
      <w:r>
        <w:rPr>
          <w:rFonts w:ascii="Times New Roman" w:hAnsi="Times New Roman"/>
          <w:bCs/>
          <w:sz w:val="24"/>
          <w:szCs w:val="24"/>
        </w:rPr>
        <w:t>superavit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financeiro, que se originaram pelo cancelamento de restos a pagar que não foram executados, sendo os recursos realocados para atender as demandas do Departamento de Assistência Social.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9 - P</w:t>
      </w:r>
      <w:r>
        <w:rPr>
          <w:rFonts w:ascii="Times New Roman" w:hAnsi="Times New Roman"/>
          <w:b/>
          <w:sz w:val="24"/>
          <w:szCs w:val="24"/>
        </w:rPr>
        <w:t xml:space="preserve">rojeto de Lei nº 102/2021 do Executivo: </w:t>
      </w:r>
      <w:r>
        <w:rPr>
          <w:rFonts w:ascii="Times New Roman" w:hAnsi="Times New Roman"/>
          <w:bCs/>
          <w:sz w:val="24"/>
          <w:szCs w:val="24"/>
        </w:rPr>
        <w:t>Súmula: Introduz alterações na Lei Municipal nº 1.940, de 19 de abril de 2011, que dispõe sobre a política de desenvolvimento industrial e dá outras providências. Incentivo para industrias que queiram se instalar no município (custeio das tarifas de água e energia elétrica), por período de até 24 (vinte e quatro) meses, podendo assim, contribuir com aumento de emprego e renda em nossa cidade.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F6D1B" w:rsidRDefault="008F6D1B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10 - P</w:t>
      </w:r>
      <w:r>
        <w:rPr>
          <w:rFonts w:ascii="Times New Roman" w:hAnsi="Times New Roman"/>
          <w:b/>
          <w:sz w:val="24"/>
          <w:szCs w:val="24"/>
        </w:rPr>
        <w:t xml:space="preserve">rojeto de Lei nº 43/2021 do Legislativo: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Gorete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Teixeira. </w:t>
      </w:r>
      <w:r>
        <w:rPr>
          <w:rFonts w:ascii="Times New Roman" w:hAnsi="Times New Roman"/>
          <w:bCs/>
          <w:sz w:val="24"/>
          <w:szCs w:val="24"/>
        </w:rPr>
        <w:t>Súmula: Dispõe sobre a Criação da Semana Municipal do Ciclista no Calendário Cultural do Município de Ivaiporã, Estado do Paraná, e dá outras providências. O ciclismo é uma modalidade esportiva que fornece diversos benefícios aos praticantes e a população em geral, sendo o seu incentivo de primordial importância para o nosso município, que tem se destacado pelo grande aumento no número de adeptos a esta modalidade, inclusive com formação de grupos de amigos da prática.</w:t>
      </w:r>
    </w:p>
    <w:p w:rsidR="004067BC" w:rsidRPr="00DD2D51" w:rsidRDefault="004067BC" w:rsidP="004067B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067BC" w:rsidRDefault="004067BC" w:rsidP="004067BC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67BC" w:rsidRDefault="004067BC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4067BC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B7" w:rsidRDefault="004D16B7" w:rsidP="005927EA">
      <w:pPr>
        <w:spacing w:after="0" w:line="240" w:lineRule="auto"/>
      </w:pPr>
      <w:r>
        <w:separator/>
      </w:r>
    </w:p>
  </w:endnote>
  <w:endnote w:type="continuationSeparator" w:id="0">
    <w:p w:rsidR="004D16B7" w:rsidRDefault="004D16B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B7" w:rsidRDefault="004D16B7" w:rsidP="005927EA">
      <w:pPr>
        <w:spacing w:after="0" w:line="240" w:lineRule="auto"/>
      </w:pPr>
      <w:r>
        <w:separator/>
      </w:r>
    </w:p>
  </w:footnote>
  <w:footnote w:type="continuationSeparator" w:id="0">
    <w:p w:rsidR="004D16B7" w:rsidRDefault="004D16B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E2CEC" w:rsidRPr="009E2CE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E2CEC" w:rsidRPr="009E2CE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26FE"/>
    <w:rsid w:val="007946A3"/>
    <w:rsid w:val="007A4E75"/>
    <w:rsid w:val="007C20E4"/>
    <w:rsid w:val="007F017D"/>
    <w:rsid w:val="007F2128"/>
    <w:rsid w:val="007F2B27"/>
    <w:rsid w:val="007F4B3C"/>
    <w:rsid w:val="007F71E0"/>
    <w:rsid w:val="008014CF"/>
    <w:rsid w:val="00805D0E"/>
    <w:rsid w:val="00835647"/>
    <w:rsid w:val="008541C5"/>
    <w:rsid w:val="00864431"/>
    <w:rsid w:val="00882D5B"/>
    <w:rsid w:val="008916BC"/>
    <w:rsid w:val="008D094A"/>
    <w:rsid w:val="008D298F"/>
    <w:rsid w:val="008F6D1B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02690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C57C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2836-D130-49BD-A431-EA959397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2021-11-23T12:01:00Z</cp:lastPrinted>
  <dcterms:created xsi:type="dcterms:W3CDTF">2021-11-23T11:55:00Z</dcterms:created>
  <dcterms:modified xsi:type="dcterms:W3CDTF">2021-11-23T12:59:00Z</dcterms:modified>
</cp:coreProperties>
</file>