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>Pauta nº 0</w:t>
      </w:r>
      <w:r w:rsidR="00940DDF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40DDF">
        <w:rPr>
          <w:rFonts w:ascii="Times New Roman" w:hAnsi="Times New Roman" w:cs="Times New Roman"/>
          <w:bCs/>
          <w:sz w:val="24"/>
          <w:szCs w:val="24"/>
        </w:rPr>
        <w:t>05</w:t>
      </w:r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940DDF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Default="00E134CE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76E9" w:rsidRDefault="004D76E9" w:rsidP="004D76E9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1</w:t>
      </w:r>
      <w:r w:rsidRPr="00D349A3">
        <w:rPr>
          <w:rFonts w:eastAsia="Palatino Linotype"/>
          <w:b/>
          <w:sz w:val="24"/>
          <w:szCs w:val="24"/>
        </w:rPr>
        <w:t xml:space="preserve"> - Projeto de Lei Complementar nº 1/2021 do Executivo:</w:t>
      </w:r>
      <w:r w:rsidRPr="0031490E">
        <w:rPr>
          <w:rFonts w:eastAsia="Palatino Linotype"/>
          <w:sz w:val="24"/>
          <w:szCs w:val="24"/>
        </w:rPr>
        <w:t xml:space="preserve"> Súmula: Altera a Lei Municipal nº 1.890, de 21 de dezembro de 2010, que dispõe sobre o Código Tributário Municipal para adequá-lo à Lei Complementar nº 175, de 23 de setembro de 2020, adequando, ainda, as regras do Imposto Sobre Serviços de Qualquer Natureza (ISS- QN) e dá outras providências.</w:t>
      </w:r>
    </w:p>
    <w:p w:rsidR="004D76E9" w:rsidRDefault="004D76E9" w:rsidP="004D76E9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D76E9" w:rsidRDefault="004D76E9" w:rsidP="004D76E9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1490E" w:rsidRDefault="004D76E9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2</w:t>
      </w:r>
      <w:r w:rsidR="0031490E" w:rsidRPr="0031490E">
        <w:rPr>
          <w:rFonts w:eastAsia="Palatino Linotype"/>
          <w:b/>
          <w:sz w:val="24"/>
          <w:szCs w:val="24"/>
        </w:rPr>
        <w:t xml:space="preserve"> - Projeto de Lei nº 20/2021 do Executivo: Súmula:</w:t>
      </w:r>
      <w:r w:rsidR="0031490E" w:rsidRPr="0031490E">
        <w:rPr>
          <w:rFonts w:eastAsia="Palatino Linotype"/>
          <w:sz w:val="24"/>
          <w:szCs w:val="24"/>
        </w:rPr>
        <w:t xml:space="preserve"> Altera o mapa constante no anexo XII do Art. 44, da Lei Municipal 1.519, de 26 de maio de 2008, que dispõe sobre o uso e ocupação do solo no Município de Ivaiporã/PR, e dá outras providências.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1490E" w:rsidRDefault="0031490E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F65D5" w:rsidRDefault="004D76E9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 w:rsidRPr="004D76E9">
        <w:rPr>
          <w:rFonts w:eastAsia="Palatino Linotype"/>
          <w:b/>
          <w:sz w:val="24"/>
          <w:szCs w:val="24"/>
        </w:rPr>
        <w:t>3 - Projeto de Lei nº 21/2021 do Executivo: Súmula:</w:t>
      </w:r>
      <w:r w:rsidRPr="004D76E9">
        <w:rPr>
          <w:rFonts w:eastAsia="Palatino Linotype"/>
          <w:sz w:val="24"/>
          <w:szCs w:val="24"/>
        </w:rPr>
        <w:t xml:space="preserve"> Autoriza o Poder Executivo Municipal a promover LEILÃO PÚBLICO DE BENS INSERVÍVEIS para alienar veículos, equipamentos e sucatas inservíveis de propriedade da Prefeitura Municipal de Ivaiporã/PR, e dá outras providências.</w:t>
      </w:r>
    </w:p>
    <w:p w:rsidR="004D76E9" w:rsidRDefault="004D76E9" w:rsidP="004D76E9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A60565" w:rsidRDefault="004D76E9" w:rsidP="00A60565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A60565">
        <w:rPr>
          <w:b/>
          <w:sz w:val="24"/>
          <w:szCs w:val="24"/>
        </w:rPr>
        <w:t>4 – Ofício nº 278/2021/PMI/DMAO, da Prefeitura de Ivaiporã</w:t>
      </w:r>
      <w:r w:rsidR="00A60565">
        <w:rPr>
          <w:sz w:val="24"/>
          <w:szCs w:val="24"/>
        </w:rPr>
        <w:t>, encaminhando cópia do Projeto de Lei nº 02/2021, vetado integralmente.</w:t>
      </w:r>
    </w:p>
    <w:p w:rsidR="00A60565" w:rsidRDefault="00A60565" w:rsidP="00A60565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</w:t>
      </w:r>
      <w:bookmarkStart w:id="0" w:name="_GoBack"/>
      <w:bookmarkEnd w:id="0"/>
      <w:r>
        <w:rPr>
          <w:rFonts w:eastAsia="Palatino Linotype"/>
          <w:b/>
          <w:sz w:val="24"/>
          <w:szCs w:val="24"/>
        </w:rPr>
        <w:t>bras                (     ) Educação</w:t>
      </w:r>
    </w:p>
    <w:p w:rsidR="00A60565" w:rsidRDefault="00A60565" w:rsidP="00A60565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B4480" w:rsidRDefault="009B4480" w:rsidP="009B4480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- P</w:t>
      </w:r>
      <w:r>
        <w:rPr>
          <w:b/>
          <w:sz w:val="24"/>
          <w:szCs w:val="24"/>
        </w:rPr>
        <w:t xml:space="preserve">rojeto de Lei nº 08/2021 do Executivo: </w:t>
      </w:r>
      <w:r>
        <w:rPr>
          <w:bCs/>
          <w:sz w:val="24"/>
          <w:szCs w:val="24"/>
        </w:rPr>
        <w:t>Súmula: Fixa o valor da diária do Prefeito, Vice-Prefeito, Diretores, Procuradores, Controlador Interno, Assessores, Gerentes e Servidores do Poder Executivo Municipal, e dá outras providências.</w:t>
      </w:r>
    </w:p>
    <w:p w:rsidR="009B4480" w:rsidRDefault="009B4480" w:rsidP="009B4480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B4480" w:rsidRDefault="009B4480" w:rsidP="009B4480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4D76E9" w:rsidRPr="0031490E" w:rsidRDefault="004D76E9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</w:p>
    <w:sectPr w:rsidR="004D76E9" w:rsidRPr="0031490E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64" w:rsidRDefault="00A66464" w:rsidP="005927EA">
      <w:pPr>
        <w:spacing w:after="0" w:line="240" w:lineRule="auto"/>
      </w:pPr>
      <w:r>
        <w:separator/>
      </w:r>
    </w:p>
  </w:endnote>
  <w:endnote w:type="continuationSeparator" w:id="0">
    <w:p w:rsidR="00A66464" w:rsidRDefault="00A66464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64" w:rsidRDefault="00A66464" w:rsidP="005927EA">
      <w:pPr>
        <w:spacing w:after="0" w:line="240" w:lineRule="auto"/>
      </w:pPr>
      <w:r>
        <w:separator/>
      </w:r>
    </w:p>
  </w:footnote>
  <w:footnote w:type="continuationSeparator" w:id="0">
    <w:p w:rsidR="00A66464" w:rsidRDefault="00A66464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B4480" w:rsidRPr="009B4480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B4480" w:rsidRPr="009B4480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B50C7"/>
    <w:rsid w:val="001950D7"/>
    <w:rsid w:val="001C078C"/>
    <w:rsid w:val="001F0C6D"/>
    <w:rsid w:val="001F65D5"/>
    <w:rsid w:val="0031490E"/>
    <w:rsid w:val="00387AFF"/>
    <w:rsid w:val="003F2785"/>
    <w:rsid w:val="004177EC"/>
    <w:rsid w:val="004D76E9"/>
    <w:rsid w:val="00523717"/>
    <w:rsid w:val="005927EA"/>
    <w:rsid w:val="005B0A6D"/>
    <w:rsid w:val="005F68C5"/>
    <w:rsid w:val="00610C9C"/>
    <w:rsid w:val="006E32B1"/>
    <w:rsid w:val="007F017D"/>
    <w:rsid w:val="00805D0E"/>
    <w:rsid w:val="00835647"/>
    <w:rsid w:val="008D094A"/>
    <w:rsid w:val="00922927"/>
    <w:rsid w:val="00926641"/>
    <w:rsid w:val="0094015D"/>
    <w:rsid w:val="00940DDF"/>
    <w:rsid w:val="00967898"/>
    <w:rsid w:val="009A3D23"/>
    <w:rsid w:val="009B4480"/>
    <w:rsid w:val="009B5C3A"/>
    <w:rsid w:val="00A60565"/>
    <w:rsid w:val="00A66464"/>
    <w:rsid w:val="00AB46D2"/>
    <w:rsid w:val="00AD2047"/>
    <w:rsid w:val="00B167EB"/>
    <w:rsid w:val="00B46E15"/>
    <w:rsid w:val="00B70CAA"/>
    <w:rsid w:val="00B85905"/>
    <w:rsid w:val="00C05B99"/>
    <w:rsid w:val="00C553D7"/>
    <w:rsid w:val="00C767ED"/>
    <w:rsid w:val="00C86746"/>
    <w:rsid w:val="00D349A3"/>
    <w:rsid w:val="00DA0ECB"/>
    <w:rsid w:val="00DD3652"/>
    <w:rsid w:val="00E04305"/>
    <w:rsid w:val="00E134CE"/>
    <w:rsid w:val="00E219F8"/>
    <w:rsid w:val="00E3154A"/>
    <w:rsid w:val="00E66AF9"/>
    <w:rsid w:val="00EB543B"/>
    <w:rsid w:val="00F205E1"/>
    <w:rsid w:val="00F41889"/>
    <w:rsid w:val="00F82BF0"/>
    <w:rsid w:val="00F9063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59CF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8</cp:revision>
  <cp:lastPrinted>2021-03-29T19:01:00Z</cp:lastPrinted>
  <dcterms:created xsi:type="dcterms:W3CDTF">2021-04-05T11:44:00Z</dcterms:created>
  <dcterms:modified xsi:type="dcterms:W3CDTF">2021-04-05T16:35:00Z</dcterms:modified>
</cp:coreProperties>
</file>